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63B78" w14:textId="77777777" w:rsidR="00721AE4" w:rsidRDefault="00000000">
      <w:pPr>
        <w:pStyle w:val="1"/>
        <w:jc w:val="center"/>
        <w:rPr>
          <w:lang w:eastAsia="zh-CN"/>
        </w:rPr>
      </w:pPr>
      <w:r>
        <w:rPr>
          <w:rFonts w:ascii="黑体" w:eastAsia="黑体" w:hAnsi="黑体"/>
          <w:lang w:eastAsia="zh-CN"/>
        </w:rPr>
        <w:t>第四章 地铁物流配送转运点布局优化模型构建及算法设计</w:t>
      </w:r>
    </w:p>
    <w:p w14:paraId="1C046DB9" w14:textId="77777777" w:rsidR="00721AE4" w:rsidRDefault="00000000">
      <w:pPr>
        <w:pStyle w:val="21"/>
        <w:rPr>
          <w:lang w:eastAsia="zh-CN"/>
        </w:rPr>
      </w:pPr>
      <w:r>
        <w:rPr>
          <w:rFonts w:ascii="黑体" w:eastAsia="黑体" w:hAnsi="黑体"/>
        </w:rPr>
        <w:t>4.1 问题描述</w:t>
      </w:r>
    </w:p>
    <w:p w14:paraId="70F200E2" w14:textId="77777777" w:rsidR="00721AE4" w:rsidRDefault="00000000">
      <w:pPr>
        <w:spacing w:line="360" w:lineRule="auto"/>
        <w:ind w:firstLine="480"/>
        <w:rPr>
          <w:lang w:eastAsia="zh-CN"/>
        </w:rPr>
      </w:pPr>
      <w:r>
        <w:rPr>
          <w:rFonts w:ascii="宋体" w:hAnsi="宋体"/>
          <w:lang w:eastAsia="zh-CN"/>
        </w:rPr>
        <w:t>随着城市配送需求持续增长，超大城市中心城区面临道路交通拥堵、末端配送密度高、配送车辆通行受限以及绿色低碳发展压力增大等问题。地铁系统具有网络覆盖范围广、运输时效稳定、受道路拥堵影响小和单位运输排放较低等优势，为中心城区物流配送提供了新的组织路径。然而，地铁站点的客运属性、空间条件、线路结构、换乘组织、站点作业能力和周边物流需求存在显著差异，并非所有地铁站点均适合作为物流配送转运点。因此，有必要在候选站点评价基础上进一步构建选址—分配优化模型，以确定地铁物流配送转运点的布局方案及货流分配关系。</w:t>
      </w:r>
    </w:p>
    <w:p w14:paraId="0F18E487" w14:textId="77777777" w:rsidR="00721AE4" w:rsidRDefault="00000000">
      <w:pPr>
        <w:spacing w:line="360" w:lineRule="auto"/>
        <w:ind w:firstLine="480"/>
        <w:rPr>
          <w:lang w:eastAsia="zh-CN"/>
        </w:rPr>
      </w:pPr>
      <w:r>
        <w:rPr>
          <w:rFonts w:ascii="宋体" w:hAnsi="宋体"/>
          <w:lang w:eastAsia="zh-CN"/>
        </w:rPr>
        <w:t>本文在第三章基于网络结构与需求潜力筛选得到候选转运点集合的基础上，进一步研究地铁物流配送转运点选址—分配问题。该问题面向“物流园区—顺丰需求站点”的不可拆分货流单元，决定：</w:t>
      </w:r>
    </w:p>
    <w:p w14:paraId="4903BD6C" w14:textId="77777777" w:rsidR="00721AE4" w:rsidRDefault="00000000">
      <w:pPr>
        <w:spacing w:line="360" w:lineRule="auto"/>
        <w:ind w:firstLine="480"/>
        <w:rPr>
          <w:lang w:eastAsia="zh-CN"/>
        </w:rPr>
      </w:pPr>
      <w:r>
        <w:rPr>
          <w:rFonts w:ascii="宋体" w:hAnsi="宋体"/>
          <w:lang w:eastAsia="zh-CN"/>
        </w:rPr>
        <w:t>1. 哪些候选地铁站点启用为地铁物流配送转运点；</w:t>
      </w:r>
    </w:p>
    <w:p w14:paraId="2F86C2C9" w14:textId="77777777" w:rsidR="00721AE4" w:rsidRDefault="00000000">
      <w:pPr>
        <w:spacing w:line="360" w:lineRule="auto"/>
        <w:ind w:firstLine="480"/>
        <w:rPr>
          <w:lang w:eastAsia="zh-CN"/>
        </w:rPr>
      </w:pPr>
      <w:r>
        <w:rPr>
          <w:rFonts w:ascii="宋体" w:hAnsi="宋体"/>
          <w:lang w:eastAsia="zh-CN"/>
        </w:rPr>
        <w:t>2. 每一组物流园区至末端需求点的货流是否通过地铁物流系统运输；</w:t>
      </w:r>
    </w:p>
    <w:p w14:paraId="5FEB57BC" w14:textId="77777777" w:rsidR="00721AE4" w:rsidRDefault="00000000">
      <w:pPr>
        <w:spacing w:line="360" w:lineRule="auto"/>
        <w:ind w:firstLine="480"/>
        <w:rPr>
          <w:lang w:eastAsia="zh-CN"/>
        </w:rPr>
      </w:pPr>
      <w:r>
        <w:rPr>
          <w:rFonts w:ascii="宋体" w:hAnsi="宋体"/>
          <w:lang w:eastAsia="zh-CN"/>
        </w:rPr>
        <w:t>3. 若采用地铁物流系统，则该货流应分配至哪个地铁物流转运点；</w:t>
      </w:r>
    </w:p>
    <w:p w14:paraId="6291A268" w14:textId="77777777" w:rsidR="00721AE4" w:rsidRDefault="00000000">
      <w:pPr>
        <w:spacing w:line="360" w:lineRule="auto"/>
        <w:ind w:firstLine="480"/>
        <w:rPr>
          <w:lang w:eastAsia="zh-CN"/>
        </w:rPr>
      </w:pPr>
      <w:r>
        <w:rPr>
          <w:rFonts w:ascii="宋体" w:hAnsi="宋体"/>
          <w:lang w:eastAsia="zh-CN"/>
        </w:rPr>
        <w:t>4. 若受服务半径、换乘次数、站点容量或列车班次能力限制而无法由地铁系统承接，则由公路直送完成。</w:t>
      </w:r>
    </w:p>
    <w:p w14:paraId="08106B31" w14:textId="77777777" w:rsidR="00721AE4" w:rsidRDefault="00000000">
      <w:pPr>
        <w:spacing w:line="360" w:lineRule="auto"/>
        <w:ind w:firstLine="480"/>
        <w:rPr>
          <w:lang w:eastAsia="zh-CN"/>
        </w:rPr>
      </w:pPr>
      <w:r>
        <w:rPr>
          <w:rFonts w:ascii="宋体" w:hAnsi="宋体"/>
          <w:lang w:eastAsia="zh-CN"/>
        </w:rPr>
        <w:t>本文所研究的问题具有典型的多目标权衡特征。一方面，提高地铁服务比例有利于缓解中心城区道路配送压力并发挥轨道交通低碳运输优势；另一方面，开设更多转运点、承接更多地铁货流会增加固定启用成本、接入运输成本、地铁运输成本、进出站作业成本、末端接驳成本以及平峰期货运班次组织成本。因此，本章构建以综合成本最小化和地铁服务比例最大化为目标的双目标选址—分配模型，并设计 QVNS-NSGA-II 混合多目标优化算法进行求解。</w:t>
      </w:r>
    </w:p>
    <w:p w14:paraId="78ECF07E" w14:textId="77777777" w:rsidR="00721AE4" w:rsidRDefault="00000000">
      <w:pPr>
        <w:spacing w:line="360" w:lineRule="auto"/>
        <w:ind w:firstLine="480"/>
        <w:rPr>
          <w:lang w:eastAsia="zh-CN"/>
        </w:rPr>
      </w:pPr>
      <w:r>
        <w:rPr>
          <w:rFonts w:ascii="宋体" w:hAnsi="宋体"/>
          <w:lang w:eastAsia="zh-CN"/>
        </w:rPr>
        <w:lastRenderedPageBreak/>
        <w:t>本文采用无预算约束口径，即固定成本仅作为综合成本目标的一部分，而不设置固定成本预算区间，也不固定开设转运点数量。转运点数量由算法在成本与地铁服务比例之间的权衡过程中自动搜索得到。</w:t>
      </w:r>
    </w:p>
    <w:p w14:paraId="34D30CBB" w14:textId="77777777" w:rsidR="001C3851" w:rsidRDefault="00000000">
      <w:pPr>
        <w:spacing w:line="360" w:lineRule="auto"/>
        <w:ind w:firstLine="480"/>
        <w:rPr>
          <w:lang w:eastAsia="zh-CN"/>
        </w:rPr>
      </w:pPr>
      <w:r>
        <w:rPr>
          <w:rFonts w:ascii="宋体" w:hAnsi="宋体"/>
          <w:lang w:eastAsia="zh-CN"/>
        </w:rPr>
        <w:t>从模型流程看，本章模型的输入包括第三章筛选得到的候选转运点集合、物流园区集合、顺丰需求站点集合、地铁路径矩阵、服务半径、站点容量、线路班次能力、运输成本和碳排放参数；核心决策包括转运点启用、货流分配、公路直送选择及平峰期货运班次启用；输出结果为 Pareto 非支配解集、代表性折中方案、转运点布局方案及货流分配关系。该输入—决策—输出结构与第三章候选站点评价结果和第五章实证分析过程相衔接。</w:t>
      </w:r>
    </w:p>
    <w:p w14:paraId="1F9C3E9F" w14:textId="77777777" w:rsidR="00721AE4" w:rsidRDefault="00000000">
      <w:pPr>
        <w:pStyle w:val="21"/>
        <w:rPr>
          <w:lang w:eastAsia="zh-CN"/>
        </w:rPr>
      </w:pPr>
      <w:r>
        <w:rPr>
          <w:rFonts w:ascii="黑体" w:eastAsia="黑体" w:hAnsi="黑体"/>
          <w:lang w:eastAsia="zh-CN"/>
        </w:rPr>
        <w:t>4.2 模型假设及符号说明</w:t>
      </w:r>
    </w:p>
    <w:p w14:paraId="481B27B0" w14:textId="77777777" w:rsidR="001C3851" w:rsidRDefault="00000000">
      <w:pPr>
        <w:spacing w:line="360" w:lineRule="auto"/>
        <w:ind w:firstLine="480"/>
        <w:rPr>
          <w:lang w:eastAsia="zh-CN"/>
        </w:rPr>
      </w:pPr>
      <w:r>
        <w:rPr>
          <w:rFonts w:ascii="宋体" w:hAnsi="宋体"/>
          <w:lang w:eastAsia="zh-CN"/>
        </w:rPr>
        <w:t>本节首先给出模型基本假设与关键参数口径，再对集合、参数和决策变量进行统一说明。其中，模型假设用于限定研究对象和运输组织边界，关键参数用于刻画服务范围、站点能力、线路班次和运营约束，符号说明则为后续目标函数和约束条件构建提供统一记号。</w:t>
      </w:r>
    </w:p>
    <w:p w14:paraId="54CE612E" w14:textId="77777777" w:rsidR="00721AE4" w:rsidRDefault="00000000">
      <w:pPr>
        <w:pStyle w:val="31"/>
        <w:rPr>
          <w:lang w:eastAsia="zh-CN"/>
        </w:rPr>
      </w:pPr>
      <w:r>
        <w:rPr>
          <w:rFonts w:ascii="黑体" w:eastAsia="黑体" w:hAnsi="黑体"/>
          <w:lang w:eastAsia="zh-CN"/>
        </w:rPr>
        <w:t>4.2.1 模型假设</w:t>
      </w:r>
    </w:p>
    <w:p w14:paraId="0C72FE2D" w14:textId="77777777" w:rsidR="00721AE4" w:rsidRDefault="00000000">
      <w:pPr>
        <w:spacing w:line="360" w:lineRule="auto"/>
        <w:ind w:firstLine="480"/>
        <w:rPr>
          <w:lang w:eastAsia="zh-CN"/>
        </w:rPr>
      </w:pPr>
      <w:r>
        <w:rPr>
          <w:rFonts w:ascii="宋体" w:hAnsi="宋体"/>
          <w:lang w:eastAsia="zh-CN"/>
        </w:rPr>
        <w:t>为保证模型表达清晰并与实际数据口径保持一致，本文作如下假设：</w:t>
      </w:r>
    </w:p>
    <w:p w14:paraId="328DBD5F" w14:textId="77777777" w:rsidR="00721AE4" w:rsidRDefault="00000000">
      <w:pPr>
        <w:spacing w:line="360" w:lineRule="auto"/>
        <w:ind w:firstLine="480"/>
        <w:rPr>
          <w:lang w:eastAsia="zh-CN"/>
        </w:rPr>
      </w:pPr>
      <w:r>
        <w:rPr>
          <w:rFonts w:ascii="宋体" w:hAnsi="宋体"/>
          <w:lang w:eastAsia="zh-CN"/>
        </w:rPr>
        <w:t>（1）本文研究对象为超大城市中心城区中小件、标准化包裹类物流需求，货物可采用标准箱方式进入地铁运输系统，不考虑危险品、冷链大件及其他不适宜进入地铁系统的货类。</w:t>
      </w:r>
    </w:p>
    <w:p w14:paraId="02A6A1C2" w14:textId="77777777" w:rsidR="00721AE4" w:rsidRDefault="00000000">
      <w:pPr>
        <w:spacing w:line="360" w:lineRule="auto"/>
        <w:ind w:firstLine="480"/>
        <w:rPr>
          <w:lang w:eastAsia="zh-CN"/>
        </w:rPr>
      </w:pPr>
      <w:r>
        <w:rPr>
          <w:rFonts w:ascii="宋体" w:hAnsi="宋体"/>
          <w:lang w:eastAsia="zh-CN"/>
        </w:rPr>
        <w:t>（2）物流需求以顺丰末端站点为需求节点，需求量采用基准日均需求量表示。每个需求节点的货源由两个物流园区按固定比例分摊，基准情景下物流园区 S_1 承担 80%，物流园区 S_2 承担 20%。该比例设置主要基于两方面考虑：一方面，S_1 为既有主要货源组织节点，现阶段承担大部分城市配送货量；另一方面，S_2 属于新开设或处于导入期的补充货源节点，业务承接能力、线路组织和需求稳定性仍处于逐步培育阶段，因此在基准情景中赋予较低货源比例。为检验新设物流园区 S_2 承接能力提升后对转运点布局和货流分配结果的影响，第五章进一步设置 S_1:S_2=7:3 和 S_1:S_2=6:4 的货源比例敏感性分析。因此，物流园区 i 至需求点 j 的货流量为不可拆分货流单元 q_{ij}=s_iQ_j，其中 s_i 表示物流园区 i 在相应情景下的货源比例。</w:t>
      </w:r>
    </w:p>
    <w:p w14:paraId="4D984473" w14:textId="77777777" w:rsidR="00721AE4" w:rsidRDefault="00000000">
      <w:pPr>
        <w:spacing w:line="360" w:lineRule="auto"/>
        <w:ind w:firstLine="480"/>
        <w:rPr>
          <w:lang w:eastAsia="zh-CN"/>
        </w:rPr>
      </w:pPr>
      <w:r>
        <w:rPr>
          <w:rFonts w:ascii="宋体" w:hAnsi="宋体"/>
          <w:lang w:eastAsia="zh-CN"/>
        </w:rPr>
        <w:lastRenderedPageBreak/>
        <w:t>（3）地铁物流运输采用“物流园区—接入地铁站—地铁运输—地铁物流转运点—顺丰需求站点”的组织方式。物流园区至接入地铁站采用公路接入，候选转运点至末端需求点采用末端接驳。若需求点无法由地铁转运点服务，则由物流园区至需求点的公路直送完成。</w:t>
      </w:r>
    </w:p>
    <w:p w14:paraId="6586D9BA" w14:textId="77777777" w:rsidR="00721AE4" w:rsidRDefault="00000000">
      <w:pPr>
        <w:spacing w:line="360" w:lineRule="auto"/>
        <w:ind w:firstLine="480"/>
        <w:rPr>
          <w:lang w:eastAsia="zh-CN"/>
        </w:rPr>
      </w:pPr>
      <w:r>
        <w:rPr>
          <w:rFonts w:ascii="宋体" w:hAnsi="宋体"/>
          <w:lang w:eastAsia="zh-CN"/>
        </w:rPr>
        <w:t>（4）候选转运点来自第三章 CRITIC-TOPSIS 综合评价结果。</w:t>
      </w:r>
    </w:p>
    <w:p w14:paraId="015B9F46" w14:textId="77777777" w:rsidR="00721AE4" w:rsidRDefault="00000000">
      <w:pPr>
        <w:spacing w:line="360" w:lineRule="auto"/>
        <w:ind w:firstLine="480"/>
        <w:rPr>
          <w:lang w:eastAsia="zh-CN"/>
        </w:rPr>
      </w:pPr>
      <w:r>
        <w:rPr>
          <w:rFonts w:ascii="宋体" w:hAnsi="宋体"/>
          <w:b/>
          <w:lang w:eastAsia="zh-CN"/>
        </w:rPr>
        <w:t>（5）地铁转运点至顺丰需求点的最大末端接驳服务距离为 4 km。超过 4 km 服务边界的需求不能分配给该转运点。</w:t>
      </w:r>
    </w:p>
    <w:p w14:paraId="32F9E6B8" w14:textId="77777777" w:rsidR="00721AE4" w:rsidRDefault="00000000">
      <w:pPr>
        <w:spacing w:line="360" w:lineRule="auto"/>
        <w:ind w:firstLine="480"/>
        <w:rPr>
          <w:lang w:eastAsia="zh-CN"/>
        </w:rPr>
      </w:pPr>
      <w:r>
        <w:rPr>
          <w:rFonts w:ascii="宋体" w:hAnsi="宋体"/>
          <w:lang w:eastAsia="zh-CN"/>
        </w:rPr>
        <w:t>（6）考虑地铁路径组织复杂度，物流园区接入站至候选转运点的最大允许换乘次数为 2 次。超过该换乘次数的路径不作为可行地铁物流路径。</w:t>
      </w:r>
    </w:p>
    <w:p w14:paraId="3814F3B7" w14:textId="77777777" w:rsidR="00721AE4" w:rsidRDefault="00000000">
      <w:pPr>
        <w:spacing w:line="360" w:lineRule="auto"/>
        <w:ind w:firstLine="480"/>
        <w:rPr>
          <w:lang w:eastAsia="zh-CN"/>
        </w:rPr>
      </w:pPr>
      <w:r>
        <w:rPr>
          <w:rFonts w:ascii="宋体" w:hAnsi="宋体"/>
          <w:b/>
          <w:lang w:eastAsia="zh-CN"/>
        </w:rPr>
        <w:t>（7）转运点按站点类型分为小型站（SL）、换乘站（TR）和枢纽站（HB）。三类站点的平峰作业周期处理能力分别为 5000 件、7000 件和 10000 件，对应固定启用成本分别为 8000 元/日、12000 元/日和 16000 元/日。</w:t>
      </w:r>
    </w:p>
    <w:p w14:paraId="16D694C7" w14:textId="77777777" w:rsidR="00721AE4" w:rsidRDefault="00000000">
      <w:pPr>
        <w:spacing w:line="360" w:lineRule="auto"/>
        <w:ind w:firstLine="480"/>
        <w:rPr>
          <w:lang w:eastAsia="zh-CN"/>
        </w:rPr>
      </w:pPr>
      <w:r>
        <w:rPr>
          <w:rFonts w:ascii="宋体" w:hAnsi="宋体"/>
          <w:lang w:eastAsia="zh-CN"/>
        </w:rPr>
        <w:t>（8）为避免无效开站和过载运行，启用转运点的负载率应位于 15% 至 85% 之间。15% 用于约束低效启用，85% 用于保留作业安全冗余。</w:t>
      </w:r>
    </w:p>
    <w:p w14:paraId="411657A1" w14:textId="77777777" w:rsidR="00721AE4" w:rsidRDefault="00000000">
      <w:pPr>
        <w:spacing w:line="360" w:lineRule="auto"/>
        <w:ind w:firstLine="480"/>
        <w:rPr>
          <w:lang w:eastAsia="zh-CN"/>
        </w:rPr>
      </w:pPr>
      <w:r>
        <w:rPr>
          <w:rFonts w:ascii="宋体" w:hAnsi="宋体"/>
          <w:lang w:eastAsia="zh-CN"/>
        </w:rPr>
        <w:t>（9）为避免转运点在空间中过度集中，任意两个启用转运点之间的最小距离不小于 2 km；为避免同一地铁线路承接过多物流转运压力，每条地铁线路最多设置 3 个转运点。</w:t>
      </w:r>
    </w:p>
    <w:p w14:paraId="112CA451" w14:textId="77777777" w:rsidR="00721AE4" w:rsidRDefault="00000000">
      <w:pPr>
        <w:spacing w:line="360" w:lineRule="auto"/>
        <w:ind w:firstLine="480"/>
        <w:rPr>
          <w:lang w:eastAsia="zh-CN"/>
        </w:rPr>
      </w:pPr>
      <w:r>
        <w:rPr>
          <w:rFonts w:ascii="宋体" w:hAnsi="宋体"/>
          <w:lang w:eastAsia="zh-CN"/>
        </w:rPr>
        <w:t>（10）每条地铁线路在平峰期可用于货运组织的既有列车班次数为 5 趟。列车容量由标准箱三维整数排布结果确定，货流在列车班次中的装载采用不可拆分装箱校验。</w:t>
      </w:r>
    </w:p>
    <w:p w14:paraId="78A86F52" w14:textId="77777777" w:rsidR="00721AE4" w:rsidRDefault="00000000">
      <w:pPr>
        <w:spacing w:line="360" w:lineRule="auto"/>
        <w:ind w:firstLine="480"/>
        <w:rPr>
          <w:lang w:eastAsia="zh-CN"/>
        </w:rPr>
      </w:pPr>
      <w:r>
        <w:rPr>
          <w:rFonts w:ascii="宋体" w:hAnsi="宋体"/>
          <w:lang w:eastAsia="zh-CN"/>
        </w:rPr>
        <w:t>（11）时间指标不折算为货币成本进入目标函数，仅作为方案服务水平或运行解释指标。公路直送基础处理成本不进入目标函数，基础分拣、交接、装卸视为各方案共同成本。</w:t>
      </w:r>
    </w:p>
    <w:p w14:paraId="70C389F5" w14:textId="77777777" w:rsidR="00721AE4" w:rsidRDefault="00000000">
      <w:pPr>
        <w:pStyle w:val="31"/>
        <w:rPr>
          <w:lang w:eastAsia="zh-CN"/>
        </w:rPr>
      </w:pPr>
      <w:r>
        <w:rPr>
          <w:rFonts w:ascii="黑体" w:eastAsia="黑体" w:hAnsi="黑体"/>
          <w:lang w:eastAsia="zh-CN"/>
        </w:rPr>
        <w:t>4.2.2 集合、参数与决策变量说明</w:t>
      </w:r>
    </w:p>
    <w:p w14:paraId="18906EDF" w14:textId="77777777" w:rsidR="00721AE4" w:rsidRDefault="00000000">
      <w:pPr>
        <w:spacing w:line="360" w:lineRule="auto"/>
        <w:ind w:firstLine="480"/>
      </w:pPr>
      <w:r>
        <w:rPr>
          <w:rFonts w:ascii="宋体" w:hAnsi="宋体"/>
          <w:b/>
        </w:rPr>
        <w:t>（1）集合说明</w:t>
      </w:r>
    </w:p>
    <w:tbl>
      <w:tblPr>
        <w:tblStyle w:val="aff1"/>
        <w:tblW w:w="0" w:type="auto"/>
        <w:jc w:val="center"/>
        <w:tblLook w:val="04A0" w:firstRow="1" w:lastRow="0" w:firstColumn="1" w:lastColumn="0" w:noHBand="0" w:noVBand="1"/>
      </w:tblPr>
      <w:tblGrid>
        <w:gridCol w:w="3120"/>
        <w:gridCol w:w="3120"/>
      </w:tblGrid>
      <w:tr w:rsidR="00B87F71" w14:paraId="30EEB66F" w14:textId="77777777">
        <w:trPr>
          <w:jc w:val="center"/>
        </w:trPr>
        <w:tc>
          <w:tcPr>
            <w:tcW w:w="3120" w:type="dxa"/>
            <w:vAlign w:val="center"/>
          </w:tcPr>
          <w:p w14:paraId="77FA2605" w14:textId="77777777" w:rsidR="00B87F71" w:rsidRDefault="00B87F71">
            <w:pPr>
              <w:jc w:val="center"/>
            </w:pPr>
            <w:r>
              <w:rPr>
                <w:rFonts w:ascii="宋体" w:hAnsi="宋体"/>
                <w:b/>
                <w:sz w:val="18"/>
              </w:rPr>
              <w:t>符号</w:t>
            </w:r>
          </w:p>
        </w:tc>
        <w:tc>
          <w:tcPr>
            <w:tcW w:w="3120" w:type="dxa"/>
            <w:vAlign w:val="center"/>
          </w:tcPr>
          <w:p w14:paraId="529172D2" w14:textId="77777777" w:rsidR="00B87F71" w:rsidRDefault="00B87F71">
            <w:pPr>
              <w:jc w:val="center"/>
            </w:pPr>
            <w:r>
              <w:rPr>
                <w:rFonts w:ascii="宋体" w:hAnsi="宋体"/>
                <w:b/>
                <w:sz w:val="18"/>
              </w:rPr>
              <w:t>含义</w:t>
            </w:r>
          </w:p>
        </w:tc>
      </w:tr>
      <w:tr w:rsidR="00B87F71" w14:paraId="6E5BE0D5" w14:textId="77777777">
        <w:trPr>
          <w:jc w:val="center"/>
        </w:trPr>
        <w:tc>
          <w:tcPr>
            <w:tcW w:w="3120" w:type="dxa"/>
            <w:vAlign w:val="center"/>
          </w:tcPr>
          <w:p w14:paraId="50D9997D" w14:textId="77777777" w:rsidR="00B87F71" w:rsidRDefault="00B87F71">
            <w:pPr>
              <w:jc w:val="center"/>
            </w:pPr>
            <w:r>
              <w:rPr>
                <w:rFonts w:ascii="宋体" w:hAnsi="宋体"/>
                <w:sz w:val="18"/>
              </w:rPr>
              <w:t>I</w:t>
            </w:r>
          </w:p>
        </w:tc>
        <w:tc>
          <w:tcPr>
            <w:tcW w:w="3120" w:type="dxa"/>
            <w:vAlign w:val="center"/>
          </w:tcPr>
          <w:p w14:paraId="46E23018" w14:textId="77777777" w:rsidR="00B87F71" w:rsidRDefault="00B87F71">
            <w:pPr>
              <w:jc w:val="center"/>
            </w:pPr>
            <w:r>
              <w:rPr>
                <w:rFonts w:ascii="宋体" w:hAnsi="宋体"/>
                <w:sz w:val="18"/>
              </w:rPr>
              <w:t>物流园区集合</w:t>
            </w:r>
          </w:p>
        </w:tc>
      </w:tr>
      <w:tr w:rsidR="00B87F71" w14:paraId="6AFD0B99" w14:textId="77777777">
        <w:trPr>
          <w:jc w:val="center"/>
        </w:trPr>
        <w:tc>
          <w:tcPr>
            <w:tcW w:w="3120" w:type="dxa"/>
            <w:vAlign w:val="center"/>
          </w:tcPr>
          <w:p w14:paraId="55CD3C98" w14:textId="77777777" w:rsidR="00B87F71" w:rsidRDefault="00B87F71">
            <w:pPr>
              <w:jc w:val="center"/>
            </w:pPr>
            <w:r>
              <w:rPr>
                <w:rFonts w:ascii="宋体" w:hAnsi="宋体"/>
                <w:sz w:val="18"/>
              </w:rPr>
              <w:t>J</w:t>
            </w:r>
          </w:p>
        </w:tc>
        <w:tc>
          <w:tcPr>
            <w:tcW w:w="3120" w:type="dxa"/>
            <w:vAlign w:val="center"/>
          </w:tcPr>
          <w:p w14:paraId="3D9A7EBE" w14:textId="77777777" w:rsidR="00B87F71" w:rsidRDefault="00B87F71">
            <w:pPr>
              <w:jc w:val="center"/>
            </w:pPr>
            <w:r>
              <w:rPr>
                <w:rFonts w:ascii="宋体" w:hAnsi="宋体"/>
                <w:sz w:val="18"/>
              </w:rPr>
              <w:t>顺丰需求站点集合</w:t>
            </w:r>
          </w:p>
        </w:tc>
      </w:tr>
      <w:tr w:rsidR="00B87F71" w14:paraId="3AF1CBE6" w14:textId="77777777">
        <w:trPr>
          <w:jc w:val="center"/>
        </w:trPr>
        <w:tc>
          <w:tcPr>
            <w:tcW w:w="3120" w:type="dxa"/>
            <w:vAlign w:val="center"/>
          </w:tcPr>
          <w:p w14:paraId="08B2DEDA" w14:textId="77777777" w:rsidR="00B87F71" w:rsidRDefault="00B87F71">
            <w:pPr>
              <w:jc w:val="center"/>
            </w:pPr>
            <w:r>
              <w:rPr>
                <w:rFonts w:ascii="宋体" w:hAnsi="宋体"/>
                <w:sz w:val="18"/>
              </w:rPr>
              <w:lastRenderedPageBreak/>
              <w:t>K</w:t>
            </w:r>
          </w:p>
        </w:tc>
        <w:tc>
          <w:tcPr>
            <w:tcW w:w="3120" w:type="dxa"/>
            <w:vAlign w:val="center"/>
          </w:tcPr>
          <w:p w14:paraId="511C04D2" w14:textId="77777777" w:rsidR="00B87F71" w:rsidRDefault="00B87F71">
            <w:pPr>
              <w:jc w:val="center"/>
              <w:rPr>
                <w:lang w:eastAsia="zh-CN"/>
              </w:rPr>
            </w:pPr>
            <w:r>
              <w:rPr>
                <w:rFonts w:ascii="宋体" w:hAnsi="宋体"/>
                <w:sz w:val="18"/>
                <w:lang w:eastAsia="zh-CN"/>
              </w:rPr>
              <w:t>候选地铁物流配送转运点集合</w:t>
            </w:r>
          </w:p>
        </w:tc>
      </w:tr>
      <w:tr w:rsidR="00B87F71" w14:paraId="36D701DC" w14:textId="77777777">
        <w:trPr>
          <w:jc w:val="center"/>
        </w:trPr>
        <w:tc>
          <w:tcPr>
            <w:tcW w:w="3120" w:type="dxa"/>
            <w:vAlign w:val="center"/>
          </w:tcPr>
          <w:p w14:paraId="692807B3" w14:textId="77777777" w:rsidR="00B87F71" w:rsidRDefault="00B87F71">
            <w:pPr>
              <w:jc w:val="center"/>
            </w:pPr>
            <w:r>
              <w:rPr>
                <w:rFonts w:ascii="宋体" w:hAnsi="宋体"/>
                <w:sz w:val="18"/>
              </w:rPr>
              <w:t>L</w:t>
            </w:r>
          </w:p>
        </w:tc>
        <w:tc>
          <w:tcPr>
            <w:tcW w:w="3120" w:type="dxa"/>
            <w:vAlign w:val="center"/>
          </w:tcPr>
          <w:p w14:paraId="3FBC535E" w14:textId="77777777" w:rsidR="00B87F71" w:rsidRDefault="00B87F71">
            <w:pPr>
              <w:jc w:val="center"/>
            </w:pPr>
            <w:r>
              <w:rPr>
                <w:rFonts w:ascii="宋体" w:hAnsi="宋体"/>
                <w:sz w:val="18"/>
              </w:rPr>
              <w:t>地铁线路集合</w:t>
            </w:r>
          </w:p>
        </w:tc>
      </w:tr>
      <w:tr w:rsidR="00B87F71" w14:paraId="1ECCFD70" w14:textId="77777777">
        <w:trPr>
          <w:jc w:val="center"/>
        </w:trPr>
        <w:tc>
          <w:tcPr>
            <w:tcW w:w="3120" w:type="dxa"/>
            <w:vAlign w:val="center"/>
          </w:tcPr>
          <w:p w14:paraId="716F1E0D" w14:textId="77777777" w:rsidR="00B87F71" w:rsidRDefault="00B87F71">
            <w:pPr>
              <w:jc w:val="center"/>
            </w:pPr>
            <w:r>
              <w:rPr>
                <w:rFonts w:ascii="宋体" w:hAnsi="宋体"/>
                <w:sz w:val="18"/>
              </w:rPr>
              <w:t>R_ell</w:t>
            </w:r>
          </w:p>
        </w:tc>
        <w:tc>
          <w:tcPr>
            <w:tcW w:w="3120" w:type="dxa"/>
            <w:vAlign w:val="center"/>
          </w:tcPr>
          <w:p w14:paraId="4EE0BD5A" w14:textId="77777777" w:rsidR="00B87F71" w:rsidRDefault="00B87F71">
            <w:pPr>
              <w:jc w:val="center"/>
              <w:rPr>
                <w:lang w:eastAsia="zh-CN"/>
              </w:rPr>
            </w:pPr>
            <w:r>
              <w:rPr>
                <w:rFonts w:ascii="宋体" w:hAnsi="宋体"/>
                <w:sz w:val="18"/>
                <w:lang w:eastAsia="zh-CN"/>
              </w:rPr>
              <w:t>线路 ell 平峰期可用货运班次集合</w:t>
            </w:r>
          </w:p>
        </w:tc>
      </w:tr>
      <w:tr w:rsidR="00B87F71" w14:paraId="45637B99" w14:textId="77777777">
        <w:trPr>
          <w:jc w:val="center"/>
        </w:trPr>
        <w:tc>
          <w:tcPr>
            <w:tcW w:w="3120" w:type="dxa"/>
            <w:vAlign w:val="center"/>
          </w:tcPr>
          <w:p w14:paraId="39238010" w14:textId="77777777" w:rsidR="00B87F71" w:rsidRDefault="00B87F71">
            <w:pPr>
              <w:jc w:val="center"/>
            </w:pPr>
            <w:r>
              <w:rPr>
                <w:rFonts w:ascii="宋体" w:hAnsi="宋体"/>
                <w:sz w:val="18"/>
              </w:rPr>
              <w:t>K^{SL}</w:t>
            </w:r>
          </w:p>
        </w:tc>
        <w:tc>
          <w:tcPr>
            <w:tcW w:w="3120" w:type="dxa"/>
            <w:vAlign w:val="center"/>
          </w:tcPr>
          <w:p w14:paraId="21F4BF81" w14:textId="77777777" w:rsidR="00B87F71" w:rsidRDefault="00B87F71">
            <w:pPr>
              <w:jc w:val="center"/>
            </w:pPr>
            <w:r>
              <w:rPr>
                <w:rFonts w:ascii="宋体" w:hAnsi="宋体"/>
                <w:sz w:val="18"/>
              </w:rPr>
              <w:t>小型站集合</w:t>
            </w:r>
          </w:p>
        </w:tc>
      </w:tr>
      <w:tr w:rsidR="00B87F71" w14:paraId="355F484D" w14:textId="77777777">
        <w:trPr>
          <w:jc w:val="center"/>
        </w:trPr>
        <w:tc>
          <w:tcPr>
            <w:tcW w:w="3120" w:type="dxa"/>
            <w:vAlign w:val="center"/>
          </w:tcPr>
          <w:p w14:paraId="14897E37" w14:textId="77777777" w:rsidR="00B87F71" w:rsidRDefault="00B87F71">
            <w:pPr>
              <w:jc w:val="center"/>
            </w:pPr>
            <w:r>
              <w:rPr>
                <w:rFonts w:ascii="宋体" w:hAnsi="宋体"/>
                <w:sz w:val="18"/>
              </w:rPr>
              <w:t>K^{TR}</w:t>
            </w:r>
          </w:p>
        </w:tc>
        <w:tc>
          <w:tcPr>
            <w:tcW w:w="3120" w:type="dxa"/>
            <w:vAlign w:val="center"/>
          </w:tcPr>
          <w:p w14:paraId="79BBD174" w14:textId="77777777" w:rsidR="00B87F71" w:rsidRDefault="00B87F71">
            <w:pPr>
              <w:jc w:val="center"/>
            </w:pPr>
            <w:r>
              <w:rPr>
                <w:rFonts w:ascii="宋体" w:hAnsi="宋体"/>
                <w:sz w:val="18"/>
              </w:rPr>
              <w:t>换乘站集合</w:t>
            </w:r>
          </w:p>
        </w:tc>
      </w:tr>
      <w:tr w:rsidR="00B87F71" w14:paraId="14CF7F27" w14:textId="77777777">
        <w:trPr>
          <w:jc w:val="center"/>
        </w:trPr>
        <w:tc>
          <w:tcPr>
            <w:tcW w:w="3120" w:type="dxa"/>
            <w:vAlign w:val="center"/>
          </w:tcPr>
          <w:p w14:paraId="236580E0" w14:textId="77777777" w:rsidR="00B87F71" w:rsidRDefault="00B87F71">
            <w:pPr>
              <w:jc w:val="center"/>
            </w:pPr>
            <w:r>
              <w:rPr>
                <w:rFonts w:ascii="宋体" w:hAnsi="宋体"/>
                <w:sz w:val="18"/>
              </w:rPr>
              <w:t>K^{HB}</w:t>
            </w:r>
          </w:p>
        </w:tc>
        <w:tc>
          <w:tcPr>
            <w:tcW w:w="3120" w:type="dxa"/>
            <w:vAlign w:val="center"/>
          </w:tcPr>
          <w:p w14:paraId="080DCF1F" w14:textId="77777777" w:rsidR="00B87F71" w:rsidRDefault="00B87F71">
            <w:pPr>
              <w:jc w:val="center"/>
            </w:pPr>
            <w:r>
              <w:rPr>
                <w:rFonts w:ascii="宋体" w:hAnsi="宋体"/>
                <w:sz w:val="18"/>
              </w:rPr>
              <w:t>枢纽站集合</w:t>
            </w:r>
          </w:p>
        </w:tc>
      </w:tr>
    </w:tbl>
    <w:p w14:paraId="774DB90E" w14:textId="77777777" w:rsidR="00721AE4" w:rsidRDefault="00000000">
      <w:pPr>
        <w:spacing w:line="360" w:lineRule="auto"/>
        <w:ind w:firstLine="480"/>
      </w:pPr>
      <w:r>
        <w:rPr>
          <w:rFonts w:ascii="宋体" w:hAnsi="宋体"/>
          <w:b/>
        </w:rPr>
        <w:t>（2）参数说明</w:t>
      </w:r>
    </w:p>
    <w:tbl>
      <w:tblPr>
        <w:tblStyle w:val="aff1"/>
        <w:tblW w:w="0" w:type="auto"/>
        <w:jc w:val="center"/>
        <w:tblLook w:val="04A0" w:firstRow="1" w:lastRow="0" w:firstColumn="1" w:lastColumn="0" w:noHBand="0" w:noVBand="1"/>
      </w:tblPr>
      <w:tblGrid>
        <w:gridCol w:w="3120"/>
        <w:gridCol w:w="3120"/>
        <w:gridCol w:w="3120"/>
      </w:tblGrid>
      <w:tr w:rsidR="00721AE4" w14:paraId="6EC28074" w14:textId="77777777">
        <w:trPr>
          <w:jc w:val="center"/>
        </w:trPr>
        <w:tc>
          <w:tcPr>
            <w:tcW w:w="3120" w:type="dxa"/>
            <w:vAlign w:val="center"/>
          </w:tcPr>
          <w:p w14:paraId="7BC14FA2" w14:textId="77777777" w:rsidR="00721AE4" w:rsidRDefault="00000000">
            <w:pPr>
              <w:jc w:val="center"/>
            </w:pPr>
            <w:r>
              <w:rPr>
                <w:rFonts w:ascii="宋体" w:hAnsi="宋体"/>
                <w:b/>
                <w:sz w:val="18"/>
              </w:rPr>
              <w:t>符号</w:t>
            </w:r>
          </w:p>
        </w:tc>
        <w:tc>
          <w:tcPr>
            <w:tcW w:w="3120" w:type="dxa"/>
            <w:vAlign w:val="center"/>
          </w:tcPr>
          <w:p w14:paraId="4218FC4D" w14:textId="77777777" w:rsidR="00721AE4" w:rsidRDefault="00000000">
            <w:pPr>
              <w:jc w:val="center"/>
            </w:pPr>
            <w:r>
              <w:rPr>
                <w:rFonts w:ascii="宋体" w:hAnsi="宋体"/>
                <w:b/>
                <w:sz w:val="18"/>
              </w:rPr>
              <w:t>代码变量</w:t>
            </w:r>
          </w:p>
        </w:tc>
        <w:tc>
          <w:tcPr>
            <w:tcW w:w="3120" w:type="dxa"/>
            <w:vAlign w:val="center"/>
          </w:tcPr>
          <w:p w14:paraId="5393F8F4" w14:textId="77777777" w:rsidR="00721AE4" w:rsidRDefault="00000000">
            <w:pPr>
              <w:jc w:val="center"/>
            </w:pPr>
            <w:r>
              <w:rPr>
                <w:rFonts w:ascii="宋体" w:hAnsi="宋体"/>
                <w:b/>
                <w:sz w:val="18"/>
              </w:rPr>
              <w:t>含义</w:t>
            </w:r>
          </w:p>
        </w:tc>
      </w:tr>
      <w:tr w:rsidR="00721AE4" w14:paraId="1FD0050C" w14:textId="77777777">
        <w:trPr>
          <w:jc w:val="center"/>
        </w:trPr>
        <w:tc>
          <w:tcPr>
            <w:tcW w:w="3120" w:type="dxa"/>
            <w:vAlign w:val="center"/>
          </w:tcPr>
          <w:p w14:paraId="36C6DDD9" w14:textId="77777777" w:rsidR="00721AE4" w:rsidRDefault="00000000">
            <w:pPr>
              <w:jc w:val="center"/>
            </w:pPr>
            <w:r>
              <w:rPr>
                <w:rFonts w:ascii="宋体" w:hAnsi="宋体"/>
                <w:sz w:val="18"/>
              </w:rPr>
              <w:t>Q_j</w:t>
            </w:r>
          </w:p>
        </w:tc>
        <w:tc>
          <w:tcPr>
            <w:tcW w:w="3120" w:type="dxa"/>
            <w:vAlign w:val="center"/>
          </w:tcPr>
          <w:p w14:paraId="0639A37B" w14:textId="77777777" w:rsidR="00721AE4" w:rsidRDefault="00000000">
            <w:pPr>
              <w:jc w:val="center"/>
            </w:pPr>
            <w:r>
              <w:rPr>
                <w:rFonts w:ascii="宋体" w:hAnsi="宋体"/>
                <w:sz w:val="18"/>
              </w:rPr>
              <w:t>Q_j[j]</w:t>
            </w:r>
          </w:p>
        </w:tc>
        <w:tc>
          <w:tcPr>
            <w:tcW w:w="3120" w:type="dxa"/>
            <w:vAlign w:val="center"/>
          </w:tcPr>
          <w:p w14:paraId="6C414A65" w14:textId="77777777" w:rsidR="00721AE4" w:rsidRDefault="00000000">
            <w:pPr>
              <w:jc w:val="center"/>
              <w:rPr>
                <w:lang w:eastAsia="zh-CN"/>
              </w:rPr>
            </w:pPr>
            <w:r>
              <w:rPr>
                <w:rFonts w:ascii="宋体" w:hAnsi="宋体"/>
                <w:sz w:val="18"/>
                <w:lang w:eastAsia="zh-CN"/>
              </w:rPr>
              <w:t>顺丰需求点 j 的基准日均需求量</w:t>
            </w:r>
          </w:p>
        </w:tc>
      </w:tr>
      <w:tr w:rsidR="00721AE4" w14:paraId="62CE6F98" w14:textId="77777777">
        <w:trPr>
          <w:jc w:val="center"/>
        </w:trPr>
        <w:tc>
          <w:tcPr>
            <w:tcW w:w="3120" w:type="dxa"/>
            <w:vAlign w:val="center"/>
          </w:tcPr>
          <w:p w14:paraId="0A5E56AF" w14:textId="77777777" w:rsidR="00721AE4" w:rsidRDefault="00000000">
            <w:pPr>
              <w:jc w:val="center"/>
            </w:pPr>
            <w:r>
              <w:rPr>
                <w:rFonts w:ascii="宋体" w:hAnsi="宋体"/>
                <w:sz w:val="18"/>
              </w:rPr>
              <w:t>s_i</w:t>
            </w:r>
          </w:p>
        </w:tc>
        <w:tc>
          <w:tcPr>
            <w:tcW w:w="3120" w:type="dxa"/>
            <w:vAlign w:val="center"/>
          </w:tcPr>
          <w:p w14:paraId="60302953" w14:textId="77777777" w:rsidR="00721AE4" w:rsidRDefault="00000000">
            <w:pPr>
              <w:jc w:val="center"/>
            </w:pPr>
            <w:r>
              <w:rPr>
                <w:rFonts w:ascii="宋体" w:hAnsi="宋体"/>
                <w:sz w:val="18"/>
              </w:rPr>
              <w:t>source_share[i]</w:t>
            </w:r>
          </w:p>
        </w:tc>
        <w:tc>
          <w:tcPr>
            <w:tcW w:w="3120" w:type="dxa"/>
            <w:vAlign w:val="center"/>
          </w:tcPr>
          <w:p w14:paraId="32AE465F" w14:textId="77777777" w:rsidR="00721AE4" w:rsidRDefault="00000000">
            <w:pPr>
              <w:jc w:val="center"/>
              <w:rPr>
                <w:lang w:eastAsia="zh-CN"/>
              </w:rPr>
            </w:pPr>
            <w:r>
              <w:rPr>
                <w:rFonts w:ascii="宋体" w:hAnsi="宋体"/>
                <w:sz w:val="18"/>
                <w:lang w:eastAsia="zh-CN"/>
              </w:rPr>
              <w:t>物流园区 i 的货源分摊比例，本文为 0.8 和 0.2</w:t>
            </w:r>
          </w:p>
        </w:tc>
      </w:tr>
      <w:tr w:rsidR="00721AE4" w14:paraId="5E6588F6" w14:textId="77777777">
        <w:trPr>
          <w:jc w:val="center"/>
        </w:trPr>
        <w:tc>
          <w:tcPr>
            <w:tcW w:w="3120" w:type="dxa"/>
            <w:vAlign w:val="center"/>
          </w:tcPr>
          <w:p w14:paraId="249C0631" w14:textId="77777777" w:rsidR="00721AE4" w:rsidRDefault="00000000">
            <w:pPr>
              <w:jc w:val="center"/>
            </w:pPr>
            <w:r>
              <w:rPr>
                <w:rFonts w:ascii="宋体" w:hAnsi="宋体"/>
                <w:sz w:val="18"/>
              </w:rPr>
              <w:t>q_{ij}</w:t>
            </w:r>
          </w:p>
        </w:tc>
        <w:tc>
          <w:tcPr>
            <w:tcW w:w="3120" w:type="dxa"/>
            <w:vAlign w:val="center"/>
          </w:tcPr>
          <w:p w14:paraId="10A655D4" w14:textId="77777777" w:rsidR="00721AE4" w:rsidRDefault="00000000">
            <w:pPr>
              <w:jc w:val="center"/>
            </w:pPr>
            <w:r>
              <w:rPr>
                <w:rFonts w:ascii="宋体" w:hAnsi="宋体"/>
                <w:sz w:val="18"/>
              </w:rPr>
              <w:t>source_share[i] * Q_j[j]</w:t>
            </w:r>
          </w:p>
        </w:tc>
        <w:tc>
          <w:tcPr>
            <w:tcW w:w="3120" w:type="dxa"/>
            <w:vAlign w:val="center"/>
          </w:tcPr>
          <w:p w14:paraId="58375931" w14:textId="77777777" w:rsidR="00721AE4" w:rsidRDefault="00000000">
            <w:pPr>
              <w:jc w:val="center"/>
              <w:rPr>
                <w:lang w:eastAsia="zh-CN"/>
              </w:rPr>
            </w:pPr>
            <w:r>
              <w:rPr>
                <w:rFonts w:ascii="宋体" w:hAnsi="宋体"/>
                <w:sz w:val="18"/>
                <w:lang w:eastAsia="zh-CN"/>
              </w:rPr>
              <w:t>物流园区 i 至需求点 j 的不可拆分货流量</w:t>
            </w:r>
          </w:p>
        </w:tc>
      </w:tr>
      <w:tr w:rsidR="00721AE4" w14:paraId="5E5D4B1A" w14:textId="77777777">
        <w:trPr>
          <w:jc w:val="center"/>
        </w:trPr>
        <w:tc>
          <w:tcPr>
            <w:tcW w:w="3120" w:type="dxa"/>
            <w:vAlign w:val="center"/>
          </w:tcPr>
          <w:p w14:paraId="78442F3D" w14:textId="77777777" w:rsidR="00721AE4" w:rsidRDefault="00000000">
            <w:pPr>
              <w:jc w:val="center"/>
            </w:pPr>
            <w:r>
              <w:rPr>
                <w:rFonts w:ascii="宋体" w:hAnsi="宋体"/>
                <w:sz w:val="18"/>
              </w:rPr>
              <w:t>F_k</w:t>
            </w:r>
          </w:p>
        </w:tc>
        <w:tc>
          <w:tcPr>
            <w:tcW w:w="3120" w:type="dxa"/>
            <w:vAlign w:val="center"/>
          </w:tcPr>
          <w:p w14:paraId="6AD52A3F" w14:textId="77777777" w:rsidR="00721AE4" w:rsidRDefault="00000000">
            <w:pPr>
              <w:jc w:val="center"/>
            </w:pPr>
            <w:r>
              <w:rPr>
                <w:rFonts w:ascii="宋体" w:hAnsi="宋体"/>
                <w:sz w:val="18"/>
              </w:rPr>
              <w:t>fixed_cost[k]</w:t>
            </w:r>
          </w:p>
        </w:tc>
        <w:tc>
          <w:tcPr>
            <w:tcW w:w="3120" w:type="dxa"/>
            <w:vAlign w:val="center"/>
          </w:tcPr>
          <w:p w14:paraId="0EC2B318" w14:textId="77777777" w:rsidR="00721AE4" w:rsidRDefault="00000000">
            <w:pPr>
              <w:jc w:val="center"/>
              <w:rPr>
                <w:lang w:eastAsia="zh-CN"/>
              </w:rPr>
            </w:pPr>
            <w:r>
              <w:rPr>
                <w:rFonts w:ascii="宋体" w:hAnsi="宋体"/>
                <w:sz w:val="18"/>
                <w:lang w:eastAsia="zh-CN"/>
              </w:rPr>
              <w:t>候选转运点 k 的固定启用成本</w:t>
            </w:r>
          </w:p>
        </w:tc>
      </w:tr>
      <w:tr w:rsidR="00721AE4" w14:paraId="1A637CAB" w14:textId="77777777">
        <w:trPr>
          <w:jc w:val="center"/>
        </w:trPr>
        <w:tc>
          <w:tcPr>
            <w:tcW w:w="3120" w:type="dxa"/>
            <w:vAlign w:val="center"/>
          </w:tcPr>
          <w:p w14:paraId="3C1704CE" w14:textId="77777777" w:rsidR="00721AE4" w:rsidRDefault="00000000">
            <w:pPr>
              <w:jc w:val="center"/>
            </w:pPr>
            <w:r>
              <w:rPr>
                <w:rFonts w:ascii="宋体" w:hAnsi="宋体"/>
                <w:sz w:val="18"/>
              </w:rPr>
              <w:t>U_k</w:t>
            </w:r>
          </w:p>
        </w:tc>
        <w:tc>
          <w:tcPr>
            <w:tcW w:w="3120" w:type="dxa"/>
            <w:vAlign w:val="center"/>
          </w:tcPr>
          <w:p w14:paraId="5A201CF0" w14:textId="77777777" w:rsidR="00721AE4" w:rsidRDefault="00000000">
            <w:pPr>
              <w:jc w:val="center"/>
            </w:pPr>
            <w:r>
              <w:rPr>
                <w:rFonts w:ascii="宋体" w:hAnsi="宋体"/>
                <w:sz w:val="18"/>
              </w:rPr>
              <w:t>station_capacity[k]</w:t>
            </w:r>
          </w:p>
        </w:tc>
        <w:tc>
          <w:tcPr>
            <w:tcW w:w="3120" w:type="dxa"/>
            <w:vAlign w:val="center"/>
          </w:tcPr>
          <w:p w14:paraId="1D0315AE" w14:textId="77777777" w:rsidR="00721AE4" w:rsidRDefault="00000000">
            <w:pPr>
              <w:jc w:val="center"/>
              <w:rPr>
                <w:lang w:eastAsia="zh-CN"/>
              </w:rPr>
            </w:pPr>
            <w:r>
              <w:rPr>
                <w:rFonts w:ascii="宋体" w:hAnsi="宋体"/>
                <w:sz w:val="18"/>
                <w:lang w:eastAsia="zh-CN"/>
              </w:rPr>
              <w:t>转运点 k 的平峰作业周期处理能力</w:t>
            </w:r>
          </w:p>
        </w:tc>
      </w:tr>
      <w:tr w:rsidR="00721AE4" w14:paraId="38223493" w14:textId="77777777">
        <w:trPr>
          <w:jc w:val="center"/>
        </w:trPr>
        <w:tc>
          <w:tcPr>
            <w:tcW w:w="3120" w:type="dxa"/>
            <w:vAlign w:val="center"/>
          </w:tcPr>
          <w:p w14:paraId="75B27865" w14:textId="77777777" w:rsidR="00721AE4" w:rsidRDefault="00000000">
            <w:pPr>
              <w:jc w:val="center"/>
            </w:pPr>
            <w:r>
              <w:rPr>
                <w:rFonts w:ascii="宋体" w:hAnsi="宋体"/>
                <w:sz w:val="18"/>
              </w:rPr>
              <w:t>underline{rho}</w:t>
            </w:r>
          </w:p>
        </w:tc>
        <w:tc>
          <w:tcPr>
            <w:tcW w:w="3120" w:type="dxa"/>
            <w:vAlign w:val="center"/>
          </w:tcPr>
          <w:p w14:paraId="5AC1B772" w14:textId="77777777" w:rsidR="00721AE4" w:rsidRDefault="00000000">
            <w:pPr>
              <w:jc w:val="center"/>
            </w:pPr>
            <w:r>
              <w:rPr>
                <w:rFonts w:ascii="宋体" w:hAnsi="宋体"/>
                <w:sz w:val="18"/>
              </w:rPr>
              <w:t>min_load_rate</w:t>
            </w:r>
          </w:p>
        </w:tc>
        <w:tc>
          <w:tcPr>
            <w:tcW w:w="3120" w:type="dxa"/>
            <w:vAlign w:val="center"/>
          </w:tcPr>
          <w:p w14:paraId="54A77AE3" w14:textId="77777777" w:rsidR="00721AE4" w:rsidRDefault="00000000">
            <w:pPr>
              <w:jc w:val="center"/>
              <w:rPr>
                <w:lang w:eastAsia="zh-CN"/>
              </w:rPr>
            </w:pPr>
            <w:r>
              <w:rPr>
                <w:rFonts w:ascii="宋体" w:hAnsi="宋体"/>
                <w:sz w:val="18"/>
                <w:lang w:eastAsia="zh-CN"/>
              </w:rPr>
              <w:t>转运点最低负载率，取 0.15</w:t>
            </w:r>
          </w:p>
        </w:tc>
      </w:tr>
      <w:tr w:rsidR="00721AE4" w14:paraId="303D1469" w14:textId="77777777">
        <w:trPr>
          <w:jc w:val="center"/>
        </w:trPr>
        <w:tc>
          <w:tcPr>
            <w:tcW w:w="3120" w:type="dxa"/>
            <w:vAlign w:val="center"/>
          </w:tcPr>
          <w:p w14:paraId="1347CAA4" w14:textId="77777777" w:rsidR="00721AE4" w:rsidRDefault="00000000">
            <w:pPr>
              <w:jc w:val="center"/>
            </w:pPr>
            <w:r>
              <w:rPr>
                <w:rFonts w:ascii="宋体" w:hAnsi="宋体"/>
                <w:sz w:val="18"/>
              </w:rPr>
              <w:t>overline{rho}</w:t>
            </w:r>
          </w:p>
        </w:tc>
        <w:tc>
          <w:tcPr>
            <w:tcW w:w="3120" w:type="dxa"/>
            <w:vAlign w:val="center"/>
          </w:tcPr>
          <w:p w14:paraId="4435A3E2" w14:textId="77777777" w:rsidR="00721AE4" w:rsidRDefault="00000000">
            <w:pPr>
              <w:jc w:val="center"/>
            </w:pPr>
            <w:r>
              <w:rPr>
                <w:rFonts w:ascii="宋体" w:hAnsi="宋体"/>
                <w:sz w:val="18"/>
              </w:rPr>
              <w:t>max_load_rate</w:t>
            </w:r>
          </w:p>
        </w:tc>
        <w:tc>
          <w:tcPr>
            <w:tcW w:w="3120" w:type="dxa"/>
            <w:vAlign w:val="center"/>
          </w:tcPr>
          <w:p w14:paraId="58DCF8AE" w14:textId="77777777" w:rsidR="00721AE4" w:rsidRDefault="00000000">
            <w:pPr>
              <w:jc w:val="center"/>
              <w:rPr>
                <w:lang w:eastAsia="zh-CN"/>
              </w:rPr>
            </w:pPr>
            <w:r>
              <w:rPr>
                <w:rFonts w:ascii="宋体" w:hAnsi="宋体"/>
                <w:sz w:val="18"/>
                <w:lang w:eastAsia="zh-CN"/>
              </w:rPr>
              <w:t>转运点最高负载率，取 0.85</w:t>
            </w:r>
          </w:p>
        </w:tc>
      </w:tr>
      <w:tr w:rsidR="00721AE4" w14:paraId="3E1A1FF5" w14:textId="77777777">
        <w:trPr>
          <w:jc w:val="center"/>
        </w:trPr>
        <w:tc>
          <w:tcPr>
            <w:tcW w:w="3120" w:type="dxa"/>
            <w:vAlign w:val="center"/>
          </w:tcPr>
          <w:p w14:paraId="3244DAE2" w14:textId="77777777" w:rsidR="00721AE4" w:rsidRDefault="00000000">
            <w:pPr>
              <w:jc w:val="center"/>
            </w:pPr>
            <w:r>
              <w:rPr>
                <w:rFonts w:ascii="宋体" w:hAnsi="宋体"/>
                <w:sz w:val="18"/>
              </w:rPr>
              <w:t>d^R_{ij}</w:t>
            </w:r>
          </w:p>
        </w:tc>
        <w:tc>
          <w:tcPr>
            <w:tcW w:w="3120" w:type="dxa"/>
            <w:vAlign w:val="center"/>
          </w:tcPr>
          <w:p w14:paraId="168DE8AB" w14:textId="77777777" w:rsidR="00721AE4" w:rsidRDefault="00000000">
            <w:pPr>
              <w:jc w:val="center"/>
            </w:pPr>
            <w:r>
              <w:rPr>
                <w:rFonts w:ascii="宋体" w:hAnsi="宋体"/>
                <w:sz w:val="18"/>
              </w:rPr>
              <w:t>d_ij_road[i,j]</w:t>
            </w:r>
          </w:p>
        </w:tc>
        <w:tc>
          <w:tcPr>
            <w:tcW w:w="3120" w:type="dxa"/>
            <w:vAlign w:val="center"/>
          </w:tcPr>
          <w:p w14:paraId="5D23B66B" w14:textId="77777777" w:rsidR="00721AE4" w:rsidRDefault="00000000">
            <w:pPr>
              <w:jc w:val="center"/>
            </w:pPr>
            <w:r>
              <w:rPr>
                <w:rFonts w:ascii="宋体" w:hAnsi="宋体"/>
                <w:sz w:val="18"/>
              </w:rPr>
              <w:t>物流园区 i 至需求点 j 的公路直送距离</w:t>
            </w:r>
          </w:p>
        </w:tc>
      </w:tr>
      <w:tr w:rsidR="00721AE4" w14:paraId="1796EE29" w14:textId="77777777">
        <w:trPr>
          <w:jc w:val="center"/>
        </w:trPr>
        <w:tc>
          <w:tcPr>
            <w:tcW w:w="3120" w:type="dxa"/>
            <w:vAlign w:val="center"/>
          </w:tcPr>
          <w:p w14:paraId="0B48C1DD" w14:textId="77777777" w:rsidR="00721AE4" w:rsidRDefault="00000000">
            <w:pPr>
              <w:jc w:val="center"/>
            </w:pPr>
            <w:r>
              <w:rPr>
                <w:rFonts w:ascii="宋体" w:hAnsi="宋体"/>
                <w:sz w:val="18"/>
              </w:rPr>
              <w:t>d^A_i</w:t>
            </w:r>
          </w:p>
        </w:tc>
        <w:tc>
          <w:tcPr>
            <w:tcW w:w="3120" w:type="dxa"/>
            <w:vAlign w:val="center"/>
          </w:tcPr>
          <w:p w14:paraId="0141F62F" w14:textId="77777777" w:rsidR="00721AE4" w:rsidRDefault="00000000">
            <w:pPr>
              <w:jc w:val="center"/>
            </w:pPr>
            <w:r>
              <w:rPr>
                <w:rFonts w:ascii="宋体" w:hAnsi="宋体"/>
                <w:sz w:val="18"/>
              </w:rPr>
              <w:t>d_is_road[i]</w:t>
            </w:r>
          </w:p>
        </w:tc>
        <w:tc>
          <w:tcPr>
            <w:tcW w:w="3120" w:type="dxa"/>
            <w:vAlign w:val="center"/>
          </w:tcPr>
          <w:p w14:paraId="5A8E13B5" w14:textId="77777777" w:rsidR="00721AE4" w:rsidRDefault="00000000">
            <w:pPr>
              <w:jc w:val="center"/>
            </w:pPr>
            <w:r>
              <w:rPr>
                <w:rFonts w:ascii="宋体" w:hAnsi="宋体"/>
                <w:sz w:val="18"/>
              </w:rPr>
              <w:t>物流园区 i 至接入地铁站的公路接入距离</w:t>
            </w:r>
          </w:p>
        </w:tc>
      </w:tr>
      <w:tr w:rsidR="00721AE4" w14:paraId="5E33079A" w14:textId="77777777">
        <w:trPr>
          <w:jc w:val="center"/>
        </w:trPr>
        <w:tc>
          <w:tcPr>
            <w:tcW w:w="3120" w:type="dxa"/>
            <w:vAlign w:val="center"/>
          </w:tcPr>
          <w:p w14:paraId="143B4CF3" w14:textId="77777777" w:rsidR="00721AE4" w:rsidRDefault="00000000">
            <w:pPr>
              <w:jc w:val="center"/>
            </w:pPr>
            <w:r>
              <w:rPr>
                <w:rFonts w:ascii="宋体" w:hAnsi="宋体"/>
                <w:sz w:val="18"/>
              </w:rPr>
              <w:t>d^M_{ik}</w:t>
            </w:r>
          </w:p>
        </w:tc>
        <w:tc>
          <w:tcPr>
            <w:tcW w:w="3120" w:type="dxa"/>
            <w:vAlign w:val="center"/>
          </w:tcPr>
          <w:p w14:paraId="4203C6A4" w14:textId="77777777" w:rsidR="00721AE4" w:rsidRDefault="00000000">
            <w:pPr>
              <w:jc w:val="center"/>
            </w:pPr>
            <w:r>
              <w:rPr>
                <w:rFonts w:ascii="宋体" w:hAnsi="宋体"/>
                <w:sz w:val="18"/>
              </w:rPr>
              <w:t>d_metro[i,k]</w:t>
            </w:r>
          </w:p>
        </w:tc>
        <w:tc>
          <w:tcPr>
            <w:tcW w:w="3120" w:type="dxa"/>
            <w:vAlign w:val="center"/>
          </w:tcPr>
          <w:p w14:paraId="25E85C8B" w14:textId="77777777" w:rsidR="00721AE4" w:rsidRDefault="00000000">
            <w:pPr>
              <w:jc w:val="center"/>
              <w:rPr>
                <w:lang w:eastAsia="zh-CN"/>
              </w:rPr>
            </w:pPr>
            <w:r>
              <w:rPr>
                <w:rFonts w:ascii="宋体" w:hAnsi="宋体"/>
                <w:sz w:val="18"/>
                <w:lang w:eastAsia="zh-CN"/>
              </w:rPr>
              <w:t>物流园区接入站至候选转运点 k 的地铁运输距离</w:t>
            </w:r>
          </w:p>
        </w:tc>
      </w:tr>
      <w:tr w:rsidR="00721AE4" w14:paraId="245316A9" w14:textId="77777777">
        <w:trPr>
          <w:jc w:val="center"/>
        </w:trPr>
        <w:tc>
          <w:tcPr>
            <w:tcW w:w="3120" w:type="dxa"/>
            <w:vAlign w:val="center"/>
          </w:tcPr>
          <w:p w14:paraId="66B7873E" w14:textId="77777777" w:rsidR="00721AE4" w:rsidRDefault="00000000">
            <w:pPr>
              <w:jc w:val="center"/>
            </w:pPr>
            <w:r>
              <w:rPr>
                <w:rFonts w:ascii="宋体" w:hAnsi="宋体"/>
                <w:sz w:val="18"/>
              </w:rPr>
              <w:t>d^E_{kj}</w:t>
            </w:r>
          </w:p>
        </w:tc>
        <w:tc>
          <w:tcPr>
            <w:tcW w:w="3120" w:type="dxa"/>
            <w:vAlign w:val="center"/>
          </w:tcPr>
          <w:p w14:paraId="29CC4FBC" w14:textId="77777777" w:rsidR="00721AE4" w:rsidRDefault="00000000">
            <w:pPr>
              <w:jc w:val="center"/>
            </w:pPr>
            <w:r>
              <w:rPr>
                <w:rFonts w:ascii="宋体" w:hAnsi="宋体"/>
                <w:sz w:val="18"/>
              </w:rPr>
              <w:t>d_kj_road[k,j]</w:t>
            </w:r>
          </w:p>
        </w:tc>
        <w:tc>
          <w:tcPr>
            <w:tcW w:w="3120" w:type="dxa"/>
            <w:vAlign w:val="center"/>
          </w:tcPr>
          <w:p w14:paraId="1E1B9C97" w14:textId="77777777" w:rsidR="00721AE4" w:rsidRDefault="00000000">
            <w:pPr>
              <w:jc w:val="center"/>
              <w:rPr>
                <w:lang w:eastAsia="zh-CN"/>
              </w:rPr>
            </w:pPr>
            <w:r>
              <w:rPr>
                <w:rFonts w:ascii="宋体" w:hAnsi="宋体"/>
                <w:sz w:val="18"/>
                <w:lang w:eastAsia="zh-CN"/>
              </w:rPr>
              <w:t>候选转运点 k 至需求点 j 的末端接驳距离</w:t>
            </w:r>
          </w:p>
        </w:tc>
      </w:tr>
      <w:tr w:rsidR="00721AE4" w14:paraId="11947B0E" w14:textId="77777777">
        <w:trPr>
          <w:jc w:val="center"/>
        </w:trPr>
        <w:tc>
          <w:tcPr>
            <w:tcW w:w="3120" w:type="dxa"/>
            <w:vAlign w:val="center"/>
          </w:tcPr>
          <w:p w14:paraId="22992804" w14:textId="77777777" w:rsidR="00721AE4" w:rsidRDefault="00000000">
            <w:pPr>
              <w:jc w:val="center"/>
            </w:pPr>
            <w:r>
              <w:rPr>
                <w:rFonts w:ascii="宋体" w:hAnsi="宋体"/>
                <w:sz w:val="18"/>
              </w:rPr>
              <w:t>overline d^E</w:t>
            </w:r>
          </w:p>
        </w:tc>
        <w:tc>
          <w:tcPr>
            <w:tcW w:w="3120" w:type="dxa"/>
            <w:vAlign w:val="center"/>
          </w:tcPr>
          <w:p w14:paraId="68A0D407" w14:textId="77777777" w:rsidR="00721AE4" w:rsidRDefault="00000000">
            <w:pPr>
              <w:jc w:val="center"/>
            </w:pPr>
            <w:r>
              <w:rPr>
                <w:rFonts w:ascii="宋体" w:hAnsi="宋体"/>
                <w:sz w:val="18"/>
              </w:rPr>
              <w:t>D_k_max</w:t>
            </w:r>
          </w:p>
        </w:tc>
        <w:tc>
          <w:tcPr>
            <w:tcW w:w="3120" w:type="dxa"/>
            <w:vAlign w:val="center"/>
          </w:tcPr>
          <w:p w14:paraId="7CF301AE" w14:textId="77777777" w:rsidR="00721AE4" w:rsidRDefault="00000000">
            <w:pPr>
              <w:jc w:val="center"/>
            </w:pPr>
            <w:r>
              <w:rPr>
                <w:rFonts w:ascii="宋体" w:hAnsi="宋体"/>
                <w:sz w:val="18"/>
              </w:rPr>
              <w:t>最大末端接驳距离，取 4 km</w:t>
            </w:r>
          </w:p>
        </w:tc>
      </w:tr>
      <w:tr w:rsidR="00721AE4" w14:paraId="168281D7" w14:textId="77777777">
        <w:trPr>
          <w:jc w:val="center"/>
        </w:trPr>
        <w:tc>
          <w:tcPr>
            <w:tcW w:w="3120" w:type="dxa"/>
            <w:vAlign w:val="center"/>
          </w:tcPr>
          <w:p w14:paraId="084191E5" w14:textId="77777777" w:rsidR="00721AE4" w:rsidRDefault="00000000">
            <w:pPr>
              <w:jc w:val="center"/>
            </w:pPr>
            <w:r>
              <w:rPr>
                <w:rFonts w:ascii="宋体" w:hAnsi="宋体"/>
                <w:sz w:val="18"/>
              </w:rPr>
              <w:t>tau_{ik}</w:t>
            </w:r>
          </w:p>
        </w:tc>
        <w:tc>
          <w:tcPr>
            <w:tcW w:w="3120" w:type="dxa"/>
            <w:vAlign w:val="center"/>
          </w:tcPr>
          <w:p w14:paraId="5686AE72" w14:textId="77777777" w:rsidR="00721AE4" w:rsidRDefault="00000000">
            <w:pPr>
              <w:jc w:val="center"/>
            </w:pPr>
            <w:r>
              <w:rPr>
                <w:rFonts w:ascii="宋体" w:hAnsi="宋体"/>
                <w:sz w:val="18"/>
              </w:rPr>
              <w:t>transfer_count[i,k]</w:t>
            </w:r>
          </w:p>
        </w:tc>
        <w:tc>
          <w:tcPr>
            <w:tcW w:w="3120" w:type="dxa"/>
            <w:vAlign w:val="center"/>
          </w:tcPr>
          <w:p w14:paraId="07DF245C" w14:textId="77777777" w:rsidR="00721AE4" w:rsidRDefault="00000000">
            <w:pPr>
              <w:jc w:val="center"/>
              <w:rPr>
                <w:lang w:eastAsia="zh-CN"/>
              </w:rPr>
            </w:pPr>
            <w:r>
              <w:rPr>
                <w:rFonts w:ascii="宋体" w:hAnsi="宋体"/>
                <w:sz w:val="18"/>
                <w:lang w:eastAsia="zh-CN"/>
              </w:rPr>
              <w:t>物流园区接入站至候选转运点 k 的换乘次数</w:t>
            </w:r>
          </w:p>
        </w:tc>
      </w:tr>
      <w:tr w:rsidR="00721AE4" w14:paraId="74B00B60" w14:textId="77777777">
        <w:trPr>
          <w:jc w:val="center"/>
        </w:trPr>
        <w:tc>
          <w:tcPr>
            <w:tcW w:w="3120" w:type="dxa"/>
            <w:vAlign w:val="center"/>
          </w:tcPr>
          <w:p w14:paraId="27BBD339" w14:textId="77777777" w:rsidR="00721AE4" w:rsidRDefault="00000000">
            <w:pPr>
              <w:jc w:val="center"/>
            </w:pPr>
            <w:r>
              <w:rPr>
                <w:rFonts w:ascii="宋体" w:hAnsi="宋体"/>
                <w:sz w:val="18"/>
              </w:rPr>
              <w:t>overline tau</w:t>
            </w:r>
          </w:p>
        </w:tc>
        <w:tc>
          <w:tcPr>
            <w:tcW w:w="3120" w:type="dxa"/>
            <w:vAlign w:val="center"/>
          </w:tcPr>
          <w:p w14:paraId="6BA2FB6F" w14:textId="77777777" w:rsidR="00721AE4" w:rsidRDefault="00000000">
            <w:pPr>
              <w:jc w:val="center"/>
            </w:pPr>
            <w:r>
              <w:rPr>
                <w:rFonts w:ascii="宋体" w:hAnsi="宋体"/>
                <w:sz w:val="18"/>
              </w:rPr>
              <w:t>max_transfer_count</w:t>
            </w:r>
          </w:p>
        </w:tc>
        <w:tc>
          <w:tcPr>
            <w:tcW w:w="3120" w:type="dxa"/>
            <w:vAlign w:val="center"/>
          </w:tcPr>
          <w:p w14:paraId="6694C756" w14:textId="77777777" w:rsidR="00721AE4" w:rsidRDefault="00000000">
            <w:pPr>
              <w:jc w:val="center"/>
              <w:rPr>
                <w:lang w:eastAsia="zh-CN"/>
              </w:rPr>
            </w:pPr>
            <w:r>
              <w:rPr>
                <w:rFonts w:ascii="宋体" w:hAnsi="宋体"/>
                <w:sz w:val="18"/>
                <w:lang w:eastAsia="zh-CN"/>
              </w:rPr>
              <w:t>最大允许换乘次数，取 2</w:t>
            </w:r>
          </w:p>
        </w:tc>
      </w:tr>
      <w:tr w:rsidR="00721AE4" w14:paraId="3C9D32DC" w14:textId="77777777">
        <w:trPr>
          <w:jc w:val="center"/>
        </w:trPr>
        <w:tc>
          <w:tcPr>
            <w:tcW w:w="3120" w:type="dxa"/>
            <w:vAlign w:val="center"/>
          </w:tcPr>
          <w:p w14:paraId="20B1599D" w14:textId="77777777" w:rsidR="00721AE4" w:rsidRDefault="00000000">
            <w:pPr>
              <w:jc w:val="center"/>
            </w:pPr>
            <w:r>
              <w:rPr>
                <w:rFonts w:ascii="宋体" w:hAnsi="宋体"/>
                <w:sz w:val="18"/>
              </w:rPr>
              <w:t>Delta_{kh}</w:t>
            </w:r>
          </w:p>
        </w:tc>
        <w:tc>
          <w:tcPr>
            <w:tcW w:w="3120" w:type="dxa"/>
            <w:vAlign w:val="center"/>
          </w:tcPr>
          <w:p w14:paraId="4EC799B3" w14:textId="77777777" w:rsidR="00721AE4" w:rsidRDefault="00000000">
            <w:pPr>
              <w:jc w:val="center"/>
            </w:pPr>
            <w:r>
              <w:rPr>
                <w:rFonts w:ascii="宋体" w:hAnsi="宋体"/>
                <w:sz w:val="18"/>
              </w:rPr>
              <w:t>d_kk_road[k,h]</w:t>
            </w:r>
          </w:p>
        </w:tc>
        <w:tc>
          <w:tcPr>
            <w:tcW w:w="3120" w:type="dxa"/>
            <w:vAlign w:val="center"/>
          </w:tcPr>
          <w:p w14:paraId="5A6054AC" w14:textId="77777777" w:rsidR="00721AE4" w:rsidRDefault="00000000">
            <w:pPr>
              <w:jc w:val="center"/>
              <w:rPr>
                <w:lang w:eastAsia="zh-CN"/>
              </w:rPr>
            </w:pPr>
            <w:r>
              <w:rPr>
                <w:rFonts w:ascii="宋体" w:hAnsi="宋体"/>
                <w:sz w:val="18"/>
                <w:lang w:eastAsia="zh-CN"/>
              </w:rPr>
              <w:t>候选转运点 k 与 h 之间的距离</w:t>
            </w:r>
          </w:p>
        </w:tc>
      </w:tr>
      <w:tr w:rsidR="00721AE4" w14:paraId="580270EA" w14:textId="77777777">
        <w:trPr>
          <w:jc w:val="center"/>
        </w:trPr>
        <w:tc>
          <w:tcPr>
            <w:tcW w:w="3120" w:type="dxa"/>
            <w:vAlign w:val="center"/>
          </w:tcPr>
          <w:p w14:paraId="75B4FCBB" w14:textId="77777777" w:rsidR="00721AE4" w:rsidRDefault="00000000">
            <w:pPr>
              <w:jc w:val="center"/>
            </w:pPr>
            <w:r>
              <w:rPr>
                <w:rFonts w:ascii="宋体" w:hAnsi="宋体"/>
                <w:sz w:val="18"/>
              </w:rPr>
              <w:t>overline Delta</w:t>
            </w:r>
          </w:p>
        </w:tc>
        <w:tc>
          <w:tcPr>
            <w:tcW w:w="3120" w:type="dxa"/>
            <w:vAlign w:val="center"/>
          </w:tcPr>
          <w:p w14:paraId="3B5097D5" w14:textId="77777777" w:rsidR="00721AE4" w:rsidRDefault="00000000">
            <w:pPr>
              <w:jc w:val="center"/>
            </w:pPr>
            <w:r>
              <w:rPr>
                <w:rFonts w:ascii="宋体" w:hAnsi="宋体"/>
                <w:sz w:val="18"/>
              </w:rPr>
              <w:t>min_station_distance</w:t>
            </w:r>
          </w:p>
        </w:tc>
        <w:tc>
          <w:tcPr>
            <w:tcW w:w="3120" w:type="dxa"/>
            <w:vAlign w:val="center"/>
          </w:tcPr>
          <w:p w14:paraId="1DDD90A3" w14:textId="77777777" w:rsidR="00721AE4" w:rsidRDefault="00000000">
            <w:pPr>
              <w:jc w:val="center"/>
              <w:rPr>
                <w:lang w:eastAsia="zh-CN"/>
              </w:rPr>
            </w:pPr>
            <w:r>
              <w:rPr>
                <w:rFonts w:ascii="宋体" w:hAnsi="宋体"/>
                <w:sz w:val="18"/>
                <w:lang w:eastAsia="zh-CN"/>
              </w:rPr>
              <w:t>启用转运点最小间距，取 2 km</w:t>
            </w:r>
          </w:p>
        </w:tc>
      </w:tr>
      <w:tr w:rsidR="00721AE4" w14:paraId="102C0C50" w14:textId="77777777">
        <w:trPr>
          <w:jc w:val="center"/>
        </w:trPr>
        <w:tc>
          <w:tcPr>
            <w:tcW w:w="3120" w:type="dxa"/>
            <w:vAlign w:val="center"/>
          </w:tcPr>
          <w:p w14:paraId="70B2A795" w14:textId="77777777" w:rsidR="00721AE4" w:rsidRDefault="00000000">
            <w:pPr>
              <w:jc w:val="center"/>
            </w:pPr>
            <w:r>
              <w:rPr>
                <w:rFonts w:ascii="宋体" w:hAnsi="宋体"/>
                <w:sz w:val="18"/>
              </w:rPr>
              <w:t>sigma_{kell}</w:t>
            </w:r>
          </w:p>
        </w:tc>
        <w:tc>
          <w:tcPr>
            <w:tcW w:w="3120" w:type="dxa"/>
            <w:vAlign w:val="center"/>
          </w:tcPr>
          <w:p w14:paraId="10D3F286" w14:textId="77777777" w:rsidR="00721AE4" w:rsidRDefault="00000000">
            <w:pPr>
              <w:jc w:val="center"/>
            </w:pPr>
            <w:r>
              <w:rPr>
                <w:rFonts w:ascii="宋体" w:hAnsi="宋体"/>
                <w:sz w:val="18"/>
              </w:rPr>
              <w:t>由站点所属线路生成</w:t>
            </w:r>
          </w:p>
        </w:tc>
        <w:tc>
          <w:tcPr>
            <w:tcW w:w="3120" w:type="dxa"/>
            <w:vAlign w:val="center"/>
          </w:tcPr>
          <w:p w14:paraId="2E0BA7AB" w14:textId="77777777" w:rsidR="00721AE4" w:rsidRDefault="00000000">
            <w:pPr>
              <w:jc w:val="center"/>
              <w:rPr>
                <w:lang w:eastAsia="zh-CN"/>
              </w:rPr>
            </w:pPr>
            <w:r>
              <w:rPr>
                <w:rFonts w:ascii="宋体" w:hAnsi="宋体"/>
                <w:sz w:val="18"/>
                <w:lang w:eastAsia="zh-CN"/>
              </w:rPr>
              <w:t>若候选站点 k 属于线路 ell，则为 1，否则为 0</w:t>
            </w:r>
          </w:p>
        </w:tc>
      </w:tr>
      <w:tr w:rsidR="00721AE4" w14:paraId="3C48AD22" w14:textId="77777777">
        <w:trPr>
          <w:jc w:val="center"/>
        </w:trPr>
        <w:tc>
          <w:tcPr>
            <w:tcW w:w="3120" w:type="dxa"/>
            <w:vAlign w:val="center"/>
          </w:tcPr>
          <w:p w14:paraId="04E10D97" w14:textId="77777777" w:rsidR="00721AE4" w:rsidRDefault="00000000">
            <w:pPr>
              <w:jc w:val="center"/>
            </w:pPr>
            <w:r>
              <w:rPr>
                <w:rFonts w:ascii="宋体" w:hAnsi="宋体"/>
                <w:sz w:val="18"/>
              </w:rPr>
              <w:t>a_{ikell}</w:t>
            </w:r>
          </w:p>
        </w:tc>
        <w:tc>
          <w:tcPr>
            <w:tcW w:w="3120" w:type="dxa"/>
            <w:vAlign w:val="center"/>
          </w:tcPr>
          <w:p w14:paraId="48D319FE" w14:textId="77777777" w:rsidR="00721AE4" w:rsidRDefault="00000000">
            <w:pPr>
              <w:jc w:val="center"/>
            </w:pPr>
            <w:r>
              <w:rPr>
                <w:rFonts w:ascii="宋体" w:hAnsi="宋体"/>
                <w:sz w:val="18"/>
              </w:rPr>
              <w:t>path_line_incidence[i,k,l]</w:t>
            </w:r>
          </w:p>
        </w:tc>
        <w:tc>
          <w:tcPr>
            <w:tcW w:w="3120" w:type="dxa"/>
            <w:vAlign w:val="center"/>
          </w:tcPr>
          <w:p w14:paraId="659911B1" w14:textId="77777777" w:rsidR="00721AE4" w:rsidRDefault="00000000">
            <w:pPr>
              <w:jc w:val="center"/>
              <w:rPr>
                <w:lang w:eastAsia="zh-CN"/>
              </w:rPr>
            </w:pPr>
            <w:r>
              <w:rPr>
                <w:rFonts w:ascii="宋体" w:hAnsi="宋体"/>
                <w:sz w:val="18"/>
                <w:lang w:eastAsia="zh-CN"/>
              </w:rPr>
              <w:t>若物流园区 i 至转运点 k 的地铁路径占用线路 ell，则为 1，否则为 0</w:t>
            </w:r>
          </w:p>
        </w:tc>
      </w:tr>
      <w:tr w:rsidR="00721AE4" w14:paraId="2D203FA7" w14:textId="77777777">
        <w:trPr>
          <w:jc w:val="center"/>
        </w:trPr>
        <w:tc>
          <w:tcPr>
            <w:tcW w:w="3120" w:type="dxa"/>
            <w:vAlign w:val="center"/>
          </w:tcPr>
          <w:p w14:paraId="4B26D887" w14:textId="77777777" w:rsidR="00721AE4" w:rsidRDefault="00000000">
            <w:pPr>
              <w:jc w:val="center"/>
            </w:pPr>
            <w:r>
              <w:rPr>
                <w:rFonts w:ascii="宋体" w:hAnsi="宋体"/>
                <w:sz w:val="18"/>
              </w:rPr>
              <w:t>G_ell</w:t>
            </w:r>
          </w:p>
        </w:tc>
        <w:tc>
          <w:tcPr>
            <w:tcW w:w="3120" w:type="dxa"/>
            <w:vAlign w:val="center"/>
          </w:tcPr>
          <w:p w14:paraId="2C4D9174" w14:textId="77777777" w:rsidR="00721AE4" w:rsidRDefault="00000000">
            <w:pPr>
              <w:jc w:val="center"/>
            </w:pPr>
            <w:r>
              <w:rPr>
                <w:rFonts w:ascii="宋体" w:hAnsi="宋体"/>
                <w:sz w:val="18"/>
              </w:rPr>
              <w:t>line_capacity[line]</w:t>
            </w:r>
          </w:p>
        </w:tc>
        <w:tc>
          <w:tcPr>
            <w:tcW w:w="3120" w:type="dxa"/>
            <w:vAlign w:val="center"/>
          </w:tcPr>
          <w:p w14:paraId="36D1E3E3" w14:textId="77777777" w:rsidR="00721AE4" w:rsidRDefault="00000000">
            <w:pPr>
              <w:jc w:val="center"/>
              <w:rPr>
                <w:lang w:eastAsia="zh-CN"/>
              </w:rPr>
            </w:pPr>
            <w:r>
              <w:rPr>
                <w:rFonts w:ascii="宋体" w:hAnsi="宋体"/>
                <w:sz w:val="18"/>
                <w:lang w:eastAsia="zh-CN"/>
              </w:rPr>
              <w:t>线路 ell 单趟平峰期列车可承载货运箱数</w:t>
            </w:r>
          </w:p>
        </w:tc>
      </w:tr>
      <w:tr w:rsidR="00721AE4" w14:paraId="1F3933BD" w14:textId="77777777">
        <w:trPr>
          <w:jc w:val="center"/>
        </w:trPr>
        <w:tc>
          <w:tcPr>
            <w:tcW w:w="3120" w:type="dxa"/>
            <w:vAlign w:val="center"/>
          </w:tcPr>
          <w:p w14:paraId="4936A862" w14:textId="77777777" w:rsidR="00721AE4" w:rsidRDefault="00000000">
            <w:pPr>
              <w:jc w:val="center"/>
            </w:pPr>
            <w:r>
              <w:rPr>
                <w:rFonts w:ascii="宋体" w:hAnsi="宋体"/>
                <w:sz w:val="18"/>
              </w:rPr>
              <w:t>overline X_ell</w:t>
            </w:r>
          </w:p>
        </w:tc>
        <w:tc>
          <w:tcPr>
            <w:tcW w:w="3120" w:type="dxa"/>
            <w:vAlign w:val="center"/>
          </w:tcPr>
          <w:p w14:paraId="50E692B7" w14:textId="77777777" w:rsidR="00721AE4" w:rsidRDefault="00000000">
            <w:pPr>
              <w:jc w:val="center"/>
            </w:pPr>
            <w:r>
              <w:rPr>
                <w:rFonts w:ascii="宋体" w:hAnsi="宋体"/>
                <w:sz w:val="18"/>
              </w:rPr>
              <w:t>max_open_per_line</w:t>
            </w:r>
          </w:p>
        </w:tc>
        <w:tc>
          <w:tcPr>
            <w:tcW w:w="3120" w:type="dxa"/>
            <w:vAlign w:val="center"/>
          </w:tcPr>
          <w:p w14:paraId="38974B86" w14:textId="77777777" w:rsidR="00721AE4" w:rsidRDefault="00000000">
            <w:pPr>
              <w:jc w:val="center"/>
              <w:rPr>
                <w:lang w:eastAsia="zh-CN"/>
              </w:rPr>
            </w:pPr>
            <w:r>
              <w:rPr>
                <w:rFonts w:ascii="宋体" w:hAnsi="宋体"/>
                <w:sz w:val="18"/>
                <w:lang w:eastAsia="zh-CN"/>
              </w:rPr>
              <w:t>每条线路最多允许设置的转运点数量，取 3</w:t>
            </w:r>
          </w:p>
        </w:tc>
      </w:tr>
      <w:tr w:rsidR="00721AE4" w14:paraId="3098CEE8" w14:textId="77777777">
        <w:trPr>
          <w:jc w:val="center"/>
        </w:trPr>
        <w:tc>
          <w:tcPr>
            <w:tcW w:w="3120" w:type="dxa"/>
            <w:vAlign w:val="center"/>
          </w:tcPr>
          <w:p w14:paraId="7082AE40" w14:textId="77777777" w:rsidR="00721AE4" w:rsidRDefault="00000000">
            <w:pPr>
              <w:jc w:val="center"/>
            </w:pPr>
            <w:r>
              <w:rPr>
                <w:rFonts w:ascii="宋体" w:hAnsi="宋体"/>
                <w:sz w:val="18"/>
              </w:rPr>
              <w:t>T_ell</w:t>
            </w:r>
          </w:p>
        </w:tc>
        <w:tc>
          <w:tcPr>
            <w:tcW w:w="3120" w:type="dxa"/>
            <w:vAlign w:val="center"/>
          </w:tcPr>
          <w:p w14:paraId="6063D039" w14:textId="77777777" w:rsidR="00721AE4" w:rsidRDefault="00000000">
            <w:pPr>
              <w:jc w:val="center"/>
            </w:pPr>
            <w:r>
              <w:rPr>
                <w:rFonts w:ascii="宋体" w:hAnsi="宋体"/>
                <w:sz w:val="18"/>
              </w:rPr>
              <w:t>available_train_trips</w:t>
            </w:r>
          </w:p>
        </w:tc>
        <w:tc>
          <w:tcPr>
            <w:tcW w:w="3120" w:type="dxa"/>
            <w:vAlign w:val="center"/>
          </w:tcPr>
          <w:p w14:paraId="70380806" w14:textId="77777777" w:rsidR="00721AE4" w:rsidRDefault="00000000">
            <w:pPr>
              <w:jc w:val="center"/>
              <w:rPr>
                <w:lang w:eastAsia="zh-CN"/>
              </w:rPr>
            </w:pPr>
            <w:r>
              <w:rPr>
                <w:rFonts w:ascii="宋体" w:hAnsi="宋体"/>
                <w:sz w:val="18"/>
                <w:lang w:eastAsia="zh-CN"/>
              </w:rPr>
              <w:t>线路 ell 平峰期可用货运班次数，取 5</w:t>
            </w:r>
          </w:p>
        </w:tc>
      </w:tr>
      <w:tr w:rsidR="00721AE4" w14:paraId="2A627E70" w14:textId="77777777">
        <w:trPr>
          <w:jc w:val="center"/>
        </w:trPr>
        <w:tc>
          <w:tcPr>
            <w:tcW w:w="3120" w:type="dxa"/>
            <w:vAlign w:val="center"/>
          </w:tcPr>
          <w:p w14:paraId="71467684" w14:textId="77777777" w:rsidR="00721AE4" w:rsidRDefault="00000000">
            <w:pPr>
              <w:jc w:val="center"/>
            </w:pPr>
            <w:r>
              <w:rPr>
                <w:rFonts w:ascii="宋体" w:hAnsi="宋体"/>
                <w:sz w:val="18"/>
              </w:rPr>
              <w:t>c^R</w:t>
            </w:r>
          </w:p>
        </w:tc>
        <w:tc>
          <w:tcPr>
            <w:tcW w:w="3120" w:type="dxa"/>
            <w:vAlign w:val="center"/>
          </w:tcPr>
          <w:p w14:paraId="373D96CC" w14:textId="77777777" w:rsidR="00721AE4" w:rsidRDefault="00000000">
            <w:pPr>
              <w:jc w:val="center"/>
            </w:pPr>
            <w:r>
              <w:rPr>
                <w:rFonts w:ascii="宋体" w:hAnsi="宋体"/>
                <w:sz w:val="18"/>
              </w:rPr>
              <w:t>road_operating_cost</w:t>
            </w:r>
          </w:p>
        </w:tc>
        <w:tc>
          <w:tcPr>
            <w:tcW w:w="3120" w:type="dxa"/>
            <w:vAlign w:val="center"/>
          </w:tcPr>
          <w:p w14:paraId="50CED8DD" w14:textId="77777777" w:rsidR="00721AE4" w:rsidRDefault="00000000">
            <w:pPr>
              <w:jc w:val="center"/>
              <w:rPr>
                <w:lang w:eastAsia="zh-CN"/>
              </w:rPr>
            </w:pPr>
            <w:r>
              <w:rPr>
                <w:rFonts w:ascii="宋体" w:hAnsi="宋体"/>
                <w:sz w:val="18"/>
                <w:lang w:eastAsia="zh-CN"/>
              </w:rPr>
              <w:t>公路运输单位件km运营成本</w:t>
            </w:r>
          </w:p>
        </w:tc>
      </w:tr>
      <w:tr w:rsidR="00721AE4" w14:paraId="5BCF684D" w14:textId="77777777">
        <w:trPr>
          <w:jc w:val="center"/>
        </w:trPr>
        <w:tc>
          <w:tcPr>
            <w:tcW w:w="3120" w:type="dxa"/>
            <w:vAlign w:val="center"/>
          </w:tcPr>
          <w:p w14:paraId="1F995499" w14:textId="77777777" w:rsidR="00721AE4" w:rsidRDefault="00000000">
            <w:pPr>
              <w:jc w:val="center"/>
            </w:pPr>
            <w:r>
              <w:rPr>
                <w:rFonts w:ascii="宋体" w:hAnsi="宋体"/>
                <w:sz w:val="18"/>
              </w:rPr>
              <w:t>c^M</w:t>
            </w:r>
          </w:p>
        </w:tc>
        <w:tc>
          <w:tcPr>
            <w:tcW w:w="3120" w:type="dxa"/>
            <w:vAlign w:val="center"/>
          </w:tcPr>
          <w:p w14:paraId="584F371D" w14:textId="77777777" w:rsidR="00721AE4" w:rsidRDefault="00000000">
            <w:pPr>
              <w:jc w:val="center"/>
            </w:pPr>
            <w:r>
              <w:rPr>
                <w:rFonts w:ascii="宋体" w:hAnsi="宋体"/>
                <w:sz w:val="18"/>
              </w:rPr>
              <w:t>metro_electric_cost</w:t>
            </w:r>
          </w:p>
        </w:tc>
        <w:tc>
          <w:tcPr>
            <w:tcW w:w="3120" w:type="dxa"/>
            <w:vAlign w:val="center"/>
          </w:tcPr>
          <w:p w14:paraId="720242F3" w14:textId="77777777" w:rsidR="00721AE4" w:rsidRDefault="00000000">
            <w:pPr>
              <w:jc w:val="center"/>
              <w:rPr>
                <w:lang w:eastAsia="zh-CN"/>
              </w:rPr>
            </w:pPr>
            <w:r>
              <w:rPr>
                <w:rFonts w:ascii="宋体" w:hAnsi="宋体"/>
                <w:sz w:val="18"/>
                <w:lang w:eastAsia="zh-CN"/>
              </w:rPr>
              <w:t>地铁运输单位件km电力成本</w:t>
            </w:r>
          </w:p>
        </w:tc>
      </w:tr>
      <w:tr w:rsidR="00721AE4" w14:paraId="33965C57" w14:textId="77777777">
        <w:trPr>
          <w:jc w:val="center"/>
        </w:trPr>
        <w:tc>
          <w:tcPr>
            <w:tcW w:w="3120" w:type="dxa"/>
            <w:vAlign w:val="center"/>
          </w:tcPr>
          <w:p w14:paraId="3EE12DE9" w14:textId="77777777" w:rsidR="00721AE4" w:rsidRDefault="00000000">
            <w:pPr>
              <w:jc w:val="center"/>
            </w:pPr>
            <w:r>
              <w:rPr>
                <w:rFonts w:ascii="宋体" w:hAnsi="宋体"/>
                <w:sz w:val="18"/>
              </w:rPr>
              <w:t>c^E</w:t>
            </w:r>
          </w:p>
        </w:tc>
        <w:tc>
          <w:tcPr>
            <w:tcW w:w="3120" w:type="dxa"/>
            <w:vAlign w:val="center"/>
          </w:tcPr>
          <w:p w14:paraId="5FAB189D" w14:textId="77777777" w:rsidR="00721AE4" w:rsidRDefault="00000000">
            <w:pPr>
              <w:jc w:val="center"/>
            </w:pPr>
            <w:r>
              <w:rPr>
                <w:rFonts w:ascii="宋体" w:hAnsi="宋体"/>
                <w:sz w:val="18"/>
              </w:rPr>
              <w:t>feeder_cost</w:t>
            </w:r>
          </w:p>
        </w:tc>
        <w:tc>
          <w:tcPr>
            <w:tcW w:w="3120" w:type="dxa"/>
            <w:vAlign w:val="center"/>
          </w:tcPr>
          <w:p w14:paraId="41DC1820" w14:textId="77777777" w:rsidR="00721AE4" w:rsidRDefault="00000000">
            <w:pPr>
              <w:jc w:val="center"/>
              <w:rPr>
                <w:lang w:eastAsia="zh-CN"/>
              </w:rPr>
            </w:pPr>
            <w:r>
              <w:rPr>
                <w:rFonts w:ascii="宋体" w:hAnsi="宋体"/>
                <w:sz w:val="18"/>
                <w:lang w:eastAsia="zh-CN"/>
              </w:rPr>
              <w:t>末端接驳单位件km运营成本</w:t>
            </w:r>
          </w:p>
        </w:tc>
      </w:tr>
      <w:tr w:rsidR="00721AE4" w14:paraId="6CA4DF63" w14:textId="77777777">
        <w:trPr>
          <w:jc w:val="center"/>
        </w:trPr>
        <w:tc>
          <w:tcPr>
            <w:tcW w:w="3120" w:type="dxa"/>
            <w:vAlign w:val="center"/>
          </w:tcPr>
          <w:p w14:paraId="2A6151D8" w14:textId="77777777" w:rsidR="00721AE4" w:rsidRDefault="00000000">
            <w:pPr>
              <w:jc w:val="center"/>
            </w:pPr>
            <w:r>
              <w:rPr>
                <w:rFonts w:ascii="宋体" w:hAnsi="宋体"/>
                <w:sz w:val="18"/>
              </w:rPr>
              <w:t>c^{TR}</w:t>
            </w:r>
          </w:p>
        </w:tc>
        <w:tc>
          <w:tcPr>
            <w:tcW w:w="3120" w:type="dxa"/>
            <w:vAlign w:val="center"/>
          </w:tcPr>
          <w:p w14:paraId="728D95F2" w14:textId="77777777" w:rsidR="00721AE4" w:rsidRDefault="00000000">
            <w:pPr>
              <w:jc w:val="center"/>
            </w:pPr>
            <w:r>
              <w:rPr>
                <w:rFonts w:ascii="宋体" w:hAnsi="宋体"/>
                <w:sz w:val="18"/>
              </w:rPr>
              <w:t>transfer_cost</w:t>
            </w:r>
          </w:p>
        </w:tc>
        <w:tc>
          <w:tcPr>
            <w:tcW w:w="3120" w:type="dxa"/>
            <w:vAlign w:val="center"/>
          </w:tcPr>
          <w:p w14:paraId="3CBE53E2" w14:textId="77777777" w:rsidR="00721AE4" w:rsidRDefault="00000000">
            <w:pPr>
              <w:jc w:val="center"/>
              <w:rPr>
                <w:lang w:eastAsia="zh-CN"/>
              </w:rPr>
            </w:pPr>
            <w:r>
              <w:rPr>
                <w:rFonts w:ascii="宋体" w:hAnsi="宋体"/>
                <w:sz w:val="18"/>
                <w:lang w:eastAsia="zh-CN"/>
              </w:rPr>
              <w:t>单件货物一次换乘成本</w:t>
            </w:r>
          </w:p>
        </w:tc>
      </w:tr>
      <w:tr w:rsidR="00721AE4" w14:paraId="3F0654D1" w14:textId="77777777">
        <w:trPr>
          <w:jc w:val="center"/>
        </w:trPr>
        <w:tc>
          <w:tcPr>
            <w:tcW w:w="3120" w:type="dxa"/>
            <w:vAlign w:val="center"/>
          </w:tcPr>
          <w:p w14:paraId="0C1AD473" w14:textId="77777777" w:rsidR="00721AE4" w:rsidRDefault="00000000">
            <w:pPr>
              <w:jc w:val="center"/>
            </w:pPr>
            <w:r>
              <w:rPr>
                <w:rFonts w:ascii="宋体" w:hAnsi="宋体"/>
                <w:sz w:val="18"/>
              </w:rPr>
              <w:t>c^{IO}</w:t>
            </w:r>
          </w:p>
        </w:tc>
        <w:tc>
          <w:tcPr>
            <w:tcW w:w="3120" w:type="dxa"/>
            <w:vAlign w:val="center"/>
          </w:tcPr>
          <w:p w14:paraId="7C550070" w14:textId="77777777" w:rsidR="00721AE4" w:rsidRDefault="00000000">
            <w:pPr>
              <w:jc w:val="center"/>
            </w:pPr>
            <w:r>
              <w:rPr>
                <w:rFonts w:ascii="宋体" w:hAnsi="宋体"/>
                <w:sz w:val="18"/>
              </w:rPr>
              <w:t>inout_cost</w:t>
            </w:r>
          </w:p>
        </w:tc>
        <w:tc>
          <w:tcPr>
            <w:tcW w:w="3120" w:type="dxa"/>
            <w:vAlign w:val="center"/>
          </w:tcPr>
          <w:p w14:paraId="63FEBF86" w14:textId="77777777" w:rsidR="00721AE4" w:rsidRDefault="00000000">
            <w:pPr>
              <w:jc w:val="center"/>
              <w:rPr>
                <w:lang w:eastAsia="zh-CN"/>
              </w:rPr>
            </w:pPr>
            <w:r>
              <w:rPr>
                <w:rFonts w:ascii="宋体" w:hAnsi="宋体"/>
                <w:sz w:val="18"/>
                <w:lang w:eastAsia="zh-CN"/>
              </w:rPr>
              <w:t>单件货物进出站作业成本</w:t>
            </w:r>
          </w:p>
        </w:tc>
      </w:tr>
      <w:tr w:rsidR="00721AE4" w14:paraId="2E114363" w14:textId="77777777">
        <w:trPr>
          <w:jc w:val="center"/>
        </w:trPr>
        <w:tc>
          <w:tcPr>
            <w:tcW w:w="3120" w:type="dxa"/>
            <w:vAlign w:val="center"/>
          </w:tcPr>
          <w:p w14:paraId="70F0A74C" w14:textId="77777777" w:rsidR="00721AE4" w:rsidRDefault="00000000">
            <w:pPr>
              <w:jc w:val="center"/>
            </w:pPr>
            <w:r>
              <w:rPr>
                <w:rFonts w:ascii="宋体" w:hAnsi="宋体"/>
                <w:sz w:val="18"/>
              </w:rPr>
              <w:t>theta^{fre}</w:t>
            </w:r>
          </w:p>
        </w:tc>
        <w:tc>
          <w:tcPr>
            <w:tcW w:w="3120" w:type="dxa"/>
            <w:vAlign w:val="center"/>
          </w:tcPr>
          <w:p w14:paraId="5B4EF27D" w14:textId="77777777" w:rsidR="00721AE4" w:rsidRDefault="00000000">
            <w:pPr>
              <w:jc w:val="center"/>
            </w:pPr>
            <w:r>
              <w:rPr>
                <w:rFonts w:ascii="宋体" w:hAnsi="宋体"/>
                <w:sz w:val="18"/>
              </w:rPr>
              <w:t>train_organization_cost_rate</w:t>
            </w:r>
          </w:p>
        </w:tc>
        <w:tc>
          <w:tcPr>
            <w:tcW w:w="3120" w:type="dxa"/>
            <w:vAlign w:val="center"/>
          </w:tcPr>
          <w:p w14:paraId="7EB98431" w14:textId="77777777" w:rsidR="00721AE4" w:rsidRDefault="00000000">
            <w:pPr>
              <w:jc w:val="center"/>
              <w:rPr>
                <w:lang w:eastAsia="zh-CN"/>
              </w:rPr>
            </w:pPr>
            <w:r>
              <w:rPr>
                <w:rFonts w:ascii="宋体" w:hAnsi="宋体"/>
                <w:sz w:val="18"/>
                <w:lang w:eastAsia="zh-CN"/>
              </w:rPr>
              <w:t>满载分摊的平峰期货运班次组织成本率</w:t>
            </w:r>
          </w:p>
        </w:tc>
      </w:tr>
      <w:tr w:rsidR="00721AE4" w14:paraId="50670327" w14:textId="77777777">
        <w:trPr>
          <w:jc w:val="center"/>
        </w:trPr>
        <w:tc>
          <w:tcPr>
            <w:tcW w:w="3120" w:type="dxa"/>
            <w:vAlign w:val="center"/>
          </w:tcPr>
          <w:p w14:paraId="675302E8" w14:textId="77777777" w:rsidR="00721AE4" w:rsidRDefault="00000000">
            <w:pPr>
              <w:jc w:val="center"/>
            </w:pPr>
            <w:r>
              <w:rPr>
                <w:rFonts w:ascii="宋体" w:hAnsi="宋体"/>
                <w:sz w:val="18"/>
              </w:rPr>
              <w:t>lambda^C</w:t>
            </w:r>
          </w:p>
        </w:tc>
        <w:tc>
          <w:tcPr>
            <w:tcW w:w="3120" w:type="dxa"/>
            <w:vAlign w:val="center"/>
          </w:tcPr>
          <w:p w14:paraId="76A3653B" w14:textId="77777777" w:rsidR="00721AE4" w:rsidRDefault="00000000">
            <w:pPr>
              <w:jc w:val="center"/>
            </w:pPr>
            <w:r>
              <w:rPr>
                <w:rFonts w:ascii="宋体" w:hAnsi="宋体"/>
                <w:sz w:val="18"/>
              </w:rPr>
              <w:t>carbon_price</w:t>
            </w:r>
          </w:p>
        </w:tc>
        <w:tc>
          <w:tcPr>
            <w:tcW w:w="3120" w:type="dxa"/>
            <w:vAlign w:val="center"/>
          </w:tcPr>
          <w:p w14:paraId="756F784C" w14:textId="77777777" w:rsidR="00721AE4" w:rsidRDefault="00000000">
            <w:pPr>
              <w:jc w:val="center"/>
            </w:pPr>
            <w:r>
              <w:rPr>
                <w:rFonts w:ascii="宋体" w:hAnsi="宋体"/>
                <w:sz w:val="18"/>
              </w:rPr>
              <w:t>碳价格，取 0.10 元/kgCO2</w:t>
            </w:r>
          </w:p>
        </w:tc>
      </w:tr>
      <w:tr w:rsidR="00721AE4" w14:paraId="229755E0" w14:textId="77777777">
        <w:trPr>
          <w:jc w:val="center"/>
        </w:trPr>
        <w:tc>
          <w:tcPr>
            <w:tcW w:w="3120" w:type="dxa"/>
            <w:vAlign w:val="center"/>
          </w:tcPr>
          <w:p w14:paraId="1AF0DFA3" w14:textId="77777777" w:rsidR="00721AE4" w:rsidRDefault="00000000">
            <w:pPr>
              <w:jc w:val="center"/>
            </w:pPr>
            <w:r>
              <w:rPr>
                <w:rFonts w:ascii="宋体" w:hAnsi="宋体"/>
                <w:sz w:val="18"/>
              </w:rPr>
              <w:t>e^R</w:t>
            </w:r>
          </w:p>
        </w:tc>
        <w:tc>
          <w:tcPr>
            <w:tcW w:w="3120" w:type="dxa"/>
            <w:vAlign w:val="center"/>
          </w:tcPr>
          <w:p w14:paraId="25C03C58" w14:textId="77777777" w:rsidR="00721AE4" w:rsidRDefault="00000000">
            <w:pPr>
              <w:jc w:val="center"/>
            </w:pPr>
            <w:r>
              <w:rPr>
                <w:rFonts w:ascii="宋体" w:hAnsi="宋体"/>
                <w:sz w:val="18"/>
              </w:rPr>
              <w:t>road_emission_factor</w:t>
            </w:r>
          </w:p>
        </w:tc>
        <w:tc>
          <w:tcPr>
            <w:tcW w:w="3120" w:type="dxa"/>
            <w:vAlign w:val="center"/>
          </w:tcPr>
          <w:p w14:paraId="5AD7C46C" w14:textId="77777777" w:rsidR="00721AE4" w:rsidRDefault="00000000">
            <w:pPr>
              <w:jc w:val="center"/>
              <w:rPr>
                <w:lang w:eastAsia="zh-CN"/>
              </w:rPr>
            </w:pPr>
            <w:r>
              <w:rPr>
                <w:rFonts w:ascii="宋体" w:hAnsi="宋体"/>
                <w:sz w:val="18"/>
                <w:lang w:eastAsia="zh-CN"/>
              </w:rPr>
              <w:t>公路运输单位件km排放因子</w:t>
            </w:r>
          </w:p>
        </w:tc>
      </w:tr>
      <w:tr w:rsidR="00721AE4" w14:paraId="3D364759" w14:textId="77777777">
        <w:trPr>
          <w:jc w:val="center"/>
        </w:trPr>
        <w:tc>
          <w:tcPr>
            <w:tcW w:w="3120" w:type="dxa"/>
            <w:vAlign w:val="center"/>
          </w:tcPr>
          <w:p w14:paraId="22C648C5" w14:textId="77777777" w:rsidR="00721AE4" w:rsidRDefault="00000000">
            <w:pPr>
              <w:jc w:val="center"/>
            </w:pPr>
            <w:r>
              <w:rPr>
                <w:rFonts w:ascii="宋体" w:hAnsi="宋体"/>
                <w:sz w:val="18"/>
              </w:rPr>
              <w:t>e^M</w:t>
            </w:r>
          </w:p>
        </w:tc>
        <w:tc>
          <w:tcPr>
            <w:tcW w:w="3120" w:type="dxa"/>
            <w:vAlign w:val="center"/>
          </w:tcPr>
          <w:p w14:paraId="2BE2719A" w14:textId="77777777" w:rsidR="00721AE4" w:rsidRDefault="00000000">
            <w:pPr>
              <w:jc w:val="center"/>
            </w:pPr>
            <w:r>
              <w:rPr>
                <w:rFonts w:ascii="宋体" w:hAnsi="宋体"/>
                <w:sz w:val="18"/>
              </w:rPr>
              <w:t>metro_emission_factor</w:t>
            </w:r>
          </w:p>
        </w:tc>
        <w:tc>
          <w:tcPr>
            <w:tcW w:w="3120" w:type="dxa"/>
            <w:vAlign w:val="center"/>
          </w:tcPr>
          <w:p w14:paraId="292CF817" w14:textId="77777777" w:rsidR="00721AE4" w:rsidRDefault="00000000">
            <w:pPr>
              <w:jc w:val="center"/>
              <w:rPr>
                <w:lang w:eastAsia="zh-CN"/>
              </w:rPr>
            </w:pPr>
            <w:r>
              <w:rPr>
                <w:rFonts w:ascii="宋体" w:hAnsi="宋体"/>
                <w:sz w:val="18"/>
                <w:lang w:eastAsia="zh-CN"/>
              </w:rPr>
              <w:t>地铁运输单位件km排放因子</w:t>
            </w:r>
          </w:p>
        </w:tc>
      </w:tr>
      <w:tr w:rsidR="00721AE4" w14:paraId="53685487" w14:textId="77777777">
        <w:trPr>
          <w:jc w:val="center"/>
        </w:trPr>
        <w:tc>
          <w:tcPr>
            <w:tcW w:w="3120" w:type="dxa"/>
            <w:vAlign w:val="center"/>
          </w:tcPr>
          <w:p w14:paraId="665BF5A0" w14:textId="77777777" w:rsidR="00721AE4" w:rsidRDefault="00000000">
            <w:pPr>
              <w:jc w:val="center"/>
            </w:pPr>
            <w:r>
              <w:rPr>
                <w:rFonts w:ascii="宋体" w:hAnsi="宋体"/>
                <w:sz w:val="18"/>
              </w:rPr>
              <w:lastRenderedPageBreak/>
              <w:t>e^E</w:t>
            </w:r>
          </w:p>
        </w:tc>
        <w:tc>
          <w:tcPr>
            <w:tcW w:w="3120" w:type="dxa"/>
            <w:vAlign w:val="center"/>
          </w:tcPr>
          <w:p w14:paraId="70EAE239" w14:textId="77777777" w:rsidR="00721AE4" w:rsidRDefault="00000000">
            <w:pPr>
              <w:jc w:val="center"/>
            </w:pPr>
            <w:r>
              <w:rPr>
                <w:rFonts w:ascii="宋体" w:hAnsi="宋体"/>
                <w:sz w:val="18"/>
              </w:rPr>
              <w:t>feeder_emission_factor</w:t>
            </w:r>
          </w:p>
        </w:tc>
        <w:tc>
          <w:tcPr>
            <w:tcW w:w="3120" w:type="dxa"/>
            <w:vAlign w:val="center"/>
          </w:tcPr>
          <w:p w14:paraId="7DF5A282" w14:textId="77777777" w:rsidR="00721AE4" w:rsidRDefault="00000000">
            <w:pPr>
              <w:jc w:val="center"/>
              <w:rPr>
                <w:lang w:eastAsia="zh-CN"/>
              </w:rPr>
            </w:pPr>
            <w:r>
              <w:rPr>
                <w:rFonts w:ascii="宋体" w:hAnsi="宋体"/>
                <w:sz w:val="18"/>
                <w:lang w:eastAsia="zh-CN"/>
              </w:rPr>
              <w:t>末端接驳单位件km排放因子</w:t>
            </w:r>
          </w:p>
        </w:tc>
      </w:tr>
    </w:tbl>
    <w:p w14:paraId="647FB042" w14:textId="77777777" w:rsidR="00721AE4" w:rsidRDefault="00000000">
      <w:pPr>
        <w:spacing w:line="360" w:lineRule="auto"/>
        <w:ind w:firstLine="480"/>
        <w:rPr>
          <w:lang w:eastAsia="zh-CN"/>
        </w:rPr>
      </w:pPr>
      <w:r>
        <w:rPr>
          <w:rFonts w:ascii="宋体" w:hAnsi="宋体"/>
          <w:lang w:eastAsia="zh-CN"/>
        </w:rPr>
        <w:t>候选转运点容量定义为：</w:t>
      </w:r>
    </w:p>
    <w:p w14:paraId="1199BF6D" w14:textId="77777777" w:rsidR="00721AE4" w:rsidRDefault="00000000">
      <w:pPr>
        <w:spacing w:line="360" w:lineRule="auto"/>
        <w:ind w:firstLine="480"/>
        <w:jc w:val="center"/>
      </w:pPr>
      <w:r>
        <w:rPr>
          <w:rFonts w:ascii="Cambria Math" w:eastAsia="Cambria Math" w:hAnsi="Cambria Math"/>
        </w:rPr>
        <w:t>U_k = {5000, k∈K^{SL}; 7000, k∈K^{TR}; 10000, k∈K^{HB}}</w:t>
      </w:r>
    </w:p>
    <w:p w14:paraId="52517E35" w14:textId="77777777" w:rsidR="00721AE4" w:rsidRDefault="00000000">
      <w:pPr>
        <w:spacing w:line="360" w:lineRule="auto"/>
        <w:ind w:firstLine="480"/>
        <w:rPr>
          <w:lang w:eastAsia="zh-CN"/>
        </w:rPr>
      </w:pPr>
      <w:r>
        <w:rPr>
          <w:rFonts w:ascii="宋体" w:hAnsi="宋体"/>
          <w:lang w:eastAsia="zh-CN"/>
        </w:rPr>
        <w:t>固定启用成本定义为：</w:t>
      </w:r>
    </w:p>
    <w:p w14:paraId="1B638748" w14:textId="77777777" w:rsidR="00721AE4" w:rsidRDefault="00000000">
      <w:pPr>
        <w:spacing w:line="360" w:lineRule="auto"/>
        <w:ind w:firstLine="480"/>
        <w:jc w:val="center"/>
        <w:rPr>
          <w:lang w:eastAsia="zh-CN"/>
        </w:rPr>
      </w:pPr>
      <w:r>
        <w:rPr>
          <w:rFonts w:ascii="Cambria Math" w:eastAsia="Cambria Math" w:hAnsi="Cambria Math"/>
          <w:lang w:eastAsia="zh-CN"/>
        </w:rPr>
        <w:t>F_k = {8000, k∈K^{SL}; 12000, k∈K^{TR}; 16000, k∈K^{HB}}</w:t>
      </w:r>
    </w:p>
    <w:p w14:paraId="54498855" w14:textId="77777777" w:rsidR="00721AE4" w:rsidRDefault="00000000">
      <w:pPr>
        <w:spacing w:line="360" w:lineRule="auto"/>
        <w:ind w:firstLine="480"/>
      </w:pPr>
      <w:r>
        <w:rPr>
          <w:rFonts w:ascii="宋体" w:hAnsi="宋体"/>
          <w:lang w:eastAsia="zh-CN"/>
        </w:rPr>
        <w:t>根据装箱能力参数表，本文采用顺丰 F3 标准箱，并按照车厢可用货运区域进行三维整数排布，得到不同线路单趟列车可装箱容量。</w:t>
      </w:r>
      <w:r>
        <w:rPr>
          <w:rFonts w:ascii="宋体" w:hAnsi="宋体"/>
        </w:rPr>
        <w:t>主要线路容量如下：</w:t>
      </w:r>
    </w:p>
    <w:tbl>
      <w:tblPr>
        <w:tblStyle w:val="aff1"/>
        <w:tblW w:w="0" w:type="auto"/>
        <w:jc w:val="center"/>
        <w:tblLook w:val="04A0" w:firstRow="1" w:lastRow="0" w:firstColumn="1" w:lastColumn="0" w:noHBand="0" w:noVBand="1"/>
      </w:tblPr>
      <w:tblGrid>
        <w:gridCol w:w="2340"/>
        <w:gridCol w:w="2340"/>
        <w:gridCol w:w="2340"/>
        <w:gridCol w:w="2340"/>
      </w:tblGrid>
      <w:tr w:rsidR="00721AE4" w14:paraId="44495F5B" w14:textId="77777777">
        <w:trPr>
          <w:jc w:val="center"/>
        </w:trPr>
        <w:tc>
          <w:tcPr>
            <w:tcW w:w="2340" w:type="dxa"/>
            <w:vAlign w:val="center"/>
          </w:tcPr>
          <w:p w14:paraId="2400010B" w14:textId="77777777" w:rsidR="00721AE4" w:rsidRDefault="00000000">
            <w:pPr>
              <w:jc w:val="center"/>
            </w:pPr>
            <w:r>
              <w:rPr>
                <w:rFonts w:ascii="宋体" w:hAnsi="宋体"/>
                <w:b/>
                <w:sz w:val="18"/>
              </w:rPr>
              <w:t>线路</w:t>
            </w:r>
          </w:p>
        </w:tc>
        <w:tc>
          <w:tcPr>
            <w:tcW w:w="2340" w:type="dxa"/>
            <w:vAlign w:val="center"/>
          </w:tcPr>
          <w:p w14:paraId="2F34C682" w14:textId="77777777" w:rsidR="00721AE4" w:rsidRDefault="00000000">
            <w:pPr>
              <w:jc w:val="center"/>
            </w:pPr>
            <w:r>
              <w:rPr>
                <w:rFonts w:ascii="宋体" w:hAnsi="宋体"/>
                <w:b/>
                <w:sz w:val="18"/>
              </w:rPr>
              <w:t>单趟列车容量/件</w:t>
            </w:r>
          </w:p>
        </w:tc>
        <w:tc>
          <w:tcPr>
            <w:tcW w:w="2340" w:type="dxa"/>
            <w:vAlign w:val="center"/>
          </w:tcPr>
          <w:p w14:paraId="16B035F5" w14:textId="77777777" w:rsidR="00721AE4" w:rsidRDefault="00000000">
            <w:pPr>
              <w:jc w:val="center"/>
            </w:pPr>
            <w:r>
              <w:rPr>
                <w:rFonts w:ascii="宋体" w:hAnsi="宋体"/>
                <w:b/>
                <w:sz w:val="18"/>
              </w:rPr>
              <w:t>平峰期可用货运班次</w:t>
            </w:r>
          </w:p>
        </w:tc>
        <w:tc>
          <w:tcPr>
            <w:tcW w:w="2340" w:type="dxa"/>
            <w:vAlign w:val="center"/>
          </w:tcPr>
          <w:p w14:paraId="0112AB7C" w14:textId="77777777" w:rsidR="00721AE4" w:rsidRDefault="00000000">
            <w:pPr>
              <w:jc w:val="center"/>
              <w:rPr>
                <w:lang w:eastAsia="zh-CN"/>
              </w:rPr>
            </w:pPr>
            <w:r>
              <w:rPr>
                <w:rFonts w:ascii="宋体" w:hAnsi="宋体"/>
                <w:b/>
                <w:sz w:val="18"/>
                <w:lang w:eastAsia="zh-CN"/>
              </w:rPr>
              <w:t>满载分摊组织成本/元/趟</w:t>
            </w:r>
          </w:p>
        </w:tc>
      </w:tr>
      <w:tr w:rsidR="00721AE4" w14:paraId="057CA649" w14:textId="77777777">
        <w:trPr>
          <w:jc w:val="center"/>
        </w:trPr>
        <w:tc>
          <w:tcPr>
            <w:tcW w:w="2340" w:type="dxa"/>
            <w:vAlign w:val="center"/>
          </w:tcPr>
          <w:p w14:paraId="4DDBFF73" w14:textId="77777777" w:rsidR="00721AE4" w:rsidRDefault="00000000">
            <w:pPr>
              <w:jc w:val="center"/>
            </w:pPr>
            <w:r>
              <w:rPr>
                <w:rFonts w:ascii="宋体" w:hAnsi="宋体"/>
                <w:sz w:val="18"/>
              </w:rPr>
              <w:t>1号线</w:t>
            </w:r>
          </w:p>
        </w:tc>
        <w:tc>
          <w:tcPr>
            <w:tcW w:w="2340" w:type="dxa"/>
            <w:vAlign w:val="center"/>
          </w:tcPr>
          <w:p w14:paraId="0BE3B878" w14:textId="77777777" w:rsidR="00721AE4" w:rsidRDefault="00000000">
            <w:pPr>
              <w:jc w:val="center"/>
            </w:pPr>
            <w:r>
              <w:rPr>
                <w:rFonts w:ascii="宋体" w:hAnsi="宋体"/>
                <w:sz w:val="18"/>
              </w:rPr>
              <w:t>7560</w:t>
            </w:r>
          </w:p>
        </w:tc>
        <w:tc>
          <w:tcPr>
            <w:tcW w:w="2340" w:type="dxa"/>
            <w:vAlign w:val="center"/>
          </w:tcPr>
          <w:p w14:paraId="3A289754" w14:textId="77777777" w:rsidR="00721AE4" w:rsidRDefault="00000000">
            <w:pPr>
              <w:jc w:val="center"/>
            </w:pPr>
            <w:r>
              <w:rPr>
                <w:rFonts w:ascii="宋体" w:hAnsi="宋体"/>
                <w:sz w:val="18"/>
              </w:rPr>
              <w:t>5</w:t>
            </w:r>
          </w:p>
        </w:tc>
        <w:tc>
          <w:tcPr>
            <w:tcW w:w="2340" w:type="dxa"/>
            <w:vAlign w:val="center"/>
          </w:tcPr>
          <w:p w14:paraId="42425326" w14:textId="77777777" w:rsidR="00721AE4" w:rsidRDefault="00000000">
            <w:pPr>
              <w:jc w:val="center"/>
            </w:pPr>
            <w:r>
              <w:rPr>
                <w:rFonts w:ascii="宋体" w:hAnsi="宋体"/>
                <w:sz w:val="18"/>
              </w:rPr>
              <w:t>453.60</w:t>
            </w:r>
          </w:p>
        </w:tc>
      </w:tr>
      <w:tr w:rsidR="00721AE4" w14:paraId="2C3B6433" w14:textId="77777777">
        <w:trPr>
          <w:jc w:val="center"/>
        </w:trPr>
        <w:tc>
          <w:tcPr>
            <w:tcW w:w="2340" w:type="dxa"/>
            <w:vAlign w:val="center"/>
          </w:tcPr>
          <w:p w14:paraId="1A03EAF4" w14:textId="77777777" w:rsidR="00721AE4" w:rsidRDefault="00000000">
            <w:pPr>
              <w:jc w:val="center"/>
            </w:pPr>
            <w:r>
              <w:rPr>
                <w:rFonts w:ascii="宋体" w:hAnsi="宋体"/>
                <w:sz w:val="18"/>
              </w:rPr>
              <w:t>3号线</w:t>
            </w:r>
          </w:p>
        </w:tc>
        <w:tc>
          <w:tcPr>
            <w:tcW w:w="2340" w:type="dxa"/>
            <w:vAlign w:val="center"/>
          </w:tcPr>
          <w:p w14:paraId="23596178" w14:textId="77777777" w:rsidR="00721AE4" w:rsidRDefault="00000000">
            <w:pPr>
              <w:jc w:val="center"/>
            </w:pPr>
            <w:r>
              <w:rPr>
                <w:rFonts w:ascii="宋体" w:hAnsi="宋体"/>
                <w:sz w:val="18"/>
              </w:rPr>
              <w:t>7560</w:t>
            </w:r>
          </w:p>
        </w:tc>
        <w:tc>
          <w:tcPr>
            <w:tcW w:w="2340" w:type="dxa"/>
            <w:vAlign w:val="center"/>
          </w:tcPr>
          <w:p w14:paraId="36FCEF5E" w14:textId="77777777" w:rsidR="00721AE4" w:rsidRDefault="00000000">
            <w:pPr>
              <w:jc w:val="center"/>
            </w:pPr>
            <w:r>
              <w:rPr>
                <w:rFonts w:ascii="宋体" w:hAnsi="宋体"/>
                <w:sz w:val="18"/>
              </w:rPr>
              <w:t>5</w:t>
            </w:r>
          </w:p>
        </w:tc>
        <w:tc>
          <w:tcPr>
            <w:tcW w:w="2340" w:type="dxa"/>
            <w:vAlign w:val="center"/>
          </w:tcPr>
          <w:p w14:paraId="2077BA86" w14:textId="77777777" w:rsidR="00721AE4" w:rsidRDefault="00000000">
            <w:pPr>
              <w:jc w:val="center"/>
            </w:pPr>
            <w:r>
              <w:rPr>
                <w:rFonts w:ascii="宋体" w:hAnsi="宋体"/>
                <w:sz w:val="18"/>
              </w:rPr>
              <w:t>453.60</w:t>
            </w:r>
          </w:p>
        </w:tc>
      </w:tr>
      <w:tr w:rsidR="00721AE4" w14:paraId="29813B8B" w14:textId="77777777">
        <w:trPr>
          <w:jc w:val="center"/>
        </w:trPr>
        <w:tc>
          <w:tcPr>
            <w:tcW w:w="2340" w:type="dxa"/>
            <w:vAlign w:val="center"/>
          </w:tcPr>
          <w:p w14:paraId="7D7FB0DF" w14:textId="77777777" w:rsidR="00721AE4" w:rsidRDefault="00000000">
            <w:pPr>
              <w:jc w:val="center"/>
            </w:pPr>
            <w:r>
              <w:rPr>
                <w:rFonts w:ascii="宋体" w:hAnsi="宋体"/>
                <w:sz w:val="18"/>
              </w:rPr>
              <w:t>5号线</w:t>
            </w:r>
          </w:p>
        </w:tc>
        <w:tc>
          <w:tcPr>
            <w:tcW w:w="2340" w:type="dxa"/>
            <w:vAlign w:val="center"/>
          </w:tcPr>
          <w:p w14:paraId="26B14BA1" w14:textId="77777777" w:rsidR="00721AE4" w:rsidRDefault="00000000">
            <w:pPr>
              <w:jc w:val="center"/>
            </w:pPr>
            <w:r>
              <w:rPr>
                <w:rFonts w:ascii="宋体" w:hAnsi="宋体"/>
                <w:sz w:val="18"/>
              </w:rPr>
              <w:t>12936</w:t>
            </w:r>
          </w:p>
        </w:tc>
        <w:tc>
          <w:tcPr>
            <w:tcW w:w="2340" w:type="dxa"/>
            <w:vAlign w:val="center"/>
          </w:tcPr>
          <w:p w14:paraId="7AAF39A0" w14:textId="77777777" w:rsidR="00721AE4" w:rsidRDefault="00000000">
            <w:pPr>
              <w:jc w:val="center"/>
            </w:pPr>
            <w:r>
              <w:rPr>
                <w:rFonts w:ascii="宋体" w:hAnsi="宋体"/>
                <w:sz w:val="18"/>
              </w:rPr>
              <w:t>5</w:t>
            </w:r>
          </w:p>
        </w:tc>
        <w:tc>
          <w:tcPr>
            <w:tcW w:w="2340" w:type="dxa"/>
            <w:vAlign w:val="center"/>
          </w:tcPr>
          <w:p w14:paraId="2F429CAC" w14:textId="77777777" w:rsidR="00721AE4" w:rsidRDefault="00000000">
            <w:pPr>
              <w:jc w:val="center"/>
            </w:pPr>
            <w:r>
              <w:rPr>
                <w:rFonts w:ascii="宋体" w:hAnsi="宋体"/>
                <w:sz w:val="18"/>
              </w:rPr>
              <w:t>776.16</w:t>
            </w:r>
          </w:p>
        </w:tc>
      </w:tr>
      <w:tr w:rsidR="00721AE4" w14:paraId="580C06CD" w14:textId="77777777">
        <w:trPr>
          <w:jc w:val="center"/>
        </w:trPr>
        <w:tc>
          <w:tcPr>
            <w:tcW w:w="2340" w:type="dxa"/>
            <w:vAlign w:val="center"/>
          </w:tcPr>
          <w:p w14:paraId="5DD5FACB" w14:textId="77777777" w:rsidR="00721AE4" w:rsidRDefault="00000000">
            <w:pPr>
              <w:jc w:val="center"/>
            </w:pPr>
            <w:r>
              <w:rPr>
                <w:rFonts w:ascii="宋体" w:hAnsi="宋体"/>
                <w:sz w:val="18"/>
              </w:rPr>
              <w:t>7号线</w:t>
            </w:r>
          </w:p>
        </w:tc>
        <w:tc>
          <w:tcPr>
            <w:tcW w:w="2340" w:type="dxa"/>
            <w:vAlign w:val="center"/>
          </w:tcPr>
          <w:p w14:paraId="75031988" w14:textId="77777777" w:rsidR="00721AE4" w:rsidRDefault="00000000">
            <w:pPr>
              <w:jc w:val="center"/>
            </w:pPr>
            <w:r>
              <w:rPr>
                <w:rFonts w:ascii="宋体" w:hAnsi="宋体"/>
                <w:sz w:val="18"/>
              </w:rPr>
              <w:t>9702</w:t>
            </w:r>
          </w:p>
        </w:tc>
        <w:tc>
          <w:tcPr>
            <w:tcW w:w="2340" w:type="dxa"/>
            <w:vAlign w:val="center"/>
          </w:tcPr>
          <w:p w14:paraId="12F763CE" w14:textId="77777777" w:rsidR="00721AE4" w:rsidRDefault="00000000">
            <w:pPr>
              <w:jc w:val="center"/>
            </w:pPr>
            <w:r>
              <w:rPr>
                <w:rFonts w:ascii="宋体" w:hAnsi="宋体"/>
                <w:sz w:val="18"/>
              </w:rPr>
              <w:t>5</w:t>
            </w:r>
          </w:p>
        </w:tc>
        <w:tc>
          <w:tcPr>
            <w:tcW w:w="2340" w:type="dxa"/>
            <w:vAlign w:val="center"/>
          </w:tcPr>
          <w:p w14:paraId="37BC90CE" w14:textId="77777777" w:rsidR="00721AE4" w:rsidRDefault="00000000">
            <w:pPr>
              <w:jc w:val="center"/>
            </w:pPr>
            <w:r>
              <w:rPr>
                <w:rFonts w:ascii="宋体" w:hAnsi="宋体"/>
                <w:sz w:val="18"/>
              </w:rPr>
              <w:t>582.12</w:t>
            </w:r>
          </w:p>
        </w:tc>
      </w:tr>
      <w:tr w:rsidR="00721AE4" w14:paraId="777B605F" w14:textId="77777777">
        <w:trPr>
          <w:jc w:val="center"/>
        </w:trPr>
        <w:tc>
          <w:tcPr>
            <w:tcW w:w="2340" w:type="dxa"/>
            <w:vAlign w:val="center"/>
          </w:tcPr>
          <w:p w14:paraId="606DC9C0" w14:textId="77777777" w:rsidR="00721AE4" w:rsidRDefault="00000000">
            <w:pPr>
              <w:jc w:val="center"/>
            </w:pPr>
            <w:r>
              <w:rPr>
                <w:rFonts w:ascii="宋体" w:hAnsi="宋体"/>
                <w:sz w:val="18"/>
              </w:rPr>
              <w:t>8号线</w:t>
            </w:r>
          </w:p>
        </w:tc>
        <w:tc>
          <w:tcPr>
            <w:tcW w:w="2340" w:type="dxa"/>
            <w:vAlign w:val="center"/>
          </w:tcPr>
          <w:p w14:paraId="6EE1BE70" w14:textId="77777777" w:rsidR="00721AE4" w:rsidRDefault="00000000">
            <w:pPr>
              <w:jc w:val="center"/>
            </w:pPr>
            <w:r>
              <w:rPr>
                <w:rFonts w:ascii="宋体" w:hAnsi="宋体"/>
                <w:sz w:val="18"/>
              </w:rPr>
              <w:t>9702</w:t>
            </w:r>
          </w:p>
        </w:tc>
        <w:tc>
          <w:tcPr>
            <w:tcW w:w="2340" w:type="dxa"/>
            <w:vAlign w:val="center"/>
          </w:tcPr>
          <w:p w14:paraId="6553B9E8" w14:textId="77777777" w:rsidR="00721AE4" w:rsidRDefault="00000000">
            <w:pPr>
              <w:jc w:val="center"/>
            </w:pPr>
            <w:r>
              <w:rPr>
                <w:rFonts w:ascii="宋体" w:hAnsi="宋体"/>
                <w:sz w:val="18"/>
              </w:rPr>
              <w:t>5</w:t>
            </w:r>
          </w:p>
        </w:tc>
        <w:tc>
          <w:tcPr>
            <w:tcW w:w="2340" w:type="dxa"/>
            <w:vAlign w:val="center"/>
          </w:tcPr>
          <w:p w14:paraId="580FF6C9" w14:textId="77777777" w:rsidR="00721AE4" w:rsidRDefault="00000000">
            <w:pPr>
              <w:jc w:val="center"/>
            </w:pPr>
            <w:r>
              <w:rPr>
                <w:rFonts w:ascii="宋体" w:hAnsi="宋体"/>
                <w:sz w:val="18"/>
              </w:rPr>
              <w:t>582.12</w:t>
            </w:r>
          </w:p>
        </w:tc>
      </w:tr>
      <w:tr w:rsidR="00721AE4" w14:paraId="61E46FFF" w14:textId="77777777">
        <w:trPr>
          <w:jc w:val="center"/>
        </w:trPr>
        <w:tc>
          <w:tcPr>
            <w:tcW w:w="2340" w:type="dxa"/>
            <w:vAlign w:val="center"/>
          </w:tcPr>
          <w:p w14:paraId="532D172B" w14:textId="77777777" w:rsidR="00721AE4" w:rsidRDefault="00000000">
            <w:pPr>
              <w:jc w:val="center"/>
            </w:pPr>
            <w:r>
              <w:rPr>
                <w:rFonts w:ascii="宋体" w:hAnsi="宋体"/>
                <w:sz w:val="18"/>
              </w:rPr>
              <w:t>10号线</w:t>
            </w:r>
          </w:p>
        </w:tc>
        <w:tc>
          <w:tcPr>
            <w:tcW w:w="2340" w:type="dxa"/>
            <w:vAlign w:val="center"/>
          </w:tcPr>
          <w:p w14:paraId="03DEB3CD" w14:textId="77777777" w:rsidR="00721AE4" w:rsidRDefault="00000000">
            <w:pPr>
              <w:jc w:val="center"/>
            </w:pPr>
            <w:r>
              <w:rPr>
                <w:rFonts w:ascii="宋体" w:hAnsi="宋体"/>
                <w:sz w:val="18"/>
              </w:rPr>
              <w:t>9702</w:t>
            </w:r>
          </w:p>
        </w:tc>
        <w:tc>
          <w:tcPr>
            <w:tcW w:w="2340" w:type="dxa"/>
            <w:vAlign w:val="center"/>
          </w:tcPr>
          <w:p w14:paraId="11A47786" w14:textId="77777777" w:rsidR="00721AE4" w:rsidRDefault="00000000">
            <w:pPr>
              <w:jc w:val="center"/>
            </w:pPr>
            <w:r>
              <w:rPr>
                <w:rFonts w:ascii="宋体" w:hAnsi="宋体"/>
                <w:sz w:val="18"/>
              </w:rPr>
              <w:t>5</w:t>
            </w:r>
          </w:p>
        </w:tc>
        <w:tc>
          <w:tcPr>
            <w:tcW w:w="2340" w:type="dxa"/>
            <w:vAlign w:val="center"/>
          </w:tcPr>
          <w:p w14:paraId="6D89FE0F" w14:textId="77777777" w:rsidR="00721AE4" w:rsidRDefault="00000000">
            <w:pPr>
              <w:jc w:val="center"/>
            </w:pPr>
            <w:r>
              <w:rPr>
                <w:rFonts w:ascii="宋体" w:hAnsi="宋体"/>
                <w:sz w:val="18"/>
              </w:rPr>
              <w:t>582.12</w:t>
            </w:r>
          </w:p>
        </w:tc>
      </w:tr>
      <w:tr w:rsidR="00721AE4" w14:paraId="60647B63" w14:textId="77777777">
        <w:trPr>
          <w:jc w:val="center"/>
        </w:trPr>
        <w:tc>
          <w:tcPr>
            <w:tcW w:w="2340" w:type="dxa"/>
            <w:vAlign w:val="center"/>
          </w:tcPr>
          <w:p w14:paraId="13A96EDE" w14:textId="77777777" w:rsidR="00721AE4" w:rsidRDefault="00000000">
            <w:pPr>
              <w:jc w:val="center"/>
            </w:pPr>
            <w:r>
              <w:rPr>
                <w:rFonts w:ascii="宋体" w:hAnsi="宋体"/>
                <w:sz w:val="18"/>
              </w:rPr>
              <w:t>18号线</w:t>
            </w:r>
          </w:p>
        </w:tc>
        <w:tc>
          <w:tcPr>
            <w:tcW w:w="2340" w:type="dxa"/>
            <w:vAlign w:val="center"/>
          </w:tcPr>
          <w:p w14:paraId="660EFD55" w14:textId="77777777" w:rsidR="00721AE4" w:rsidRDefault="00000000">
            <w:pPr>
              <w:jc w:val="center"/>
            </w:pPr>
            <w:r>
              <w:rPr>
                <w:rFonts w:ascii="宋体" w:hAnsi="宋体"/>
                <w:sz w:val="18"/>
              </w:rPr>
              <w:t>12936</w:t>
            </w:r>
          </w:p>
        </w:tc>
        <w:tc>
          <w:tcPr>
            <w:tcW w:w="2340" w:type="dxa"/>
            <w:vAlign w:val="center"/>
          </w:tcPr>
          <w:p w14:paraId="6819990B" w14:textId="77777777" w:rsidR="00721AE4" w:rsidRDefault="00000000">
            <w:pPr>
              <w:jc w:val="center"/>
            </w:pPr>
            <w:r>
              <w:rPr>
                <w:rFonts w:ascii="宋体" w:hAnsi="宋体"/>
                <w:sz w:val="18"/>
              </w:rPr>
              <w:t>5</w:t>
            </w:r>
          </w:p>
        </w:tc>
        <w:tc>
          <w:tcPr>
            <w:tcW w:w="2340" w:type="dxa"/>
            <w:vAlign w:val="center"/>
          </w:tcPr>
          <w:p w14:paraId="39111BCE" w14:textId="77777777" w:rsidR="00721AE4" w:rsidRDefault="00000000">
            <w:pPr>
              <w:jc w:val="center"/>
            </w:pPr>
            <w:r>
              <w:rPr>
                <w:rFonts w:ascii="宋体" w:hAnsi="宋体"/>
                <w:sz w:val="18"/>
              </w:rPr>
              <w:t>776.16</w:t>
            </w:r>
          </w:p>
        </w:tc>
      </w:tr>
    </w:tbl>
    <w:p w14:paraId="09DE5EBC" w14:textId="77777777" w:rsidR="00721AE4" w:rsidRDefault="00000000">
      <w:pPr>
        <w:spacing w:line="360" w:lineRule="auto"/>
        <w:ind w:firstLine="480"/>
      </w:pPr>
      <w:r>
        <w:rPr>
          <w:rFonts w:ascii="宋体" w:hAnsi="宋体"/>
          <w:b/>
        </w:rPr>
        <w:t>（3）决策变量说明</w:t>
      </w:r>
    </w:p>
    <w:tbl>
      <w:tblPr>
        <w:tblStyle w:val="aff1"/>
        <w:tblW w:w="0" w:type="auto"/>
        <w:jc w:val="center"/>
        <w:tblLook w:val="04A0" w:firstRow="1" w:lastRow="0" w:firstColumn="1" w:lastColumn="0" w:noHBand="0" w:noVBand="1"/>
      </w:tblPr>
      <w:tblGrid>
        <w:gridCol w:w="4680"/>
        <w:gridCol w:w="4680"/>
      </w:tblGrid>
      <w:tr w:rsidR="00721AE4" w14:paraId="0A13B56D" w14:textId="77777777">
        <w:trPr>
          <w:jc w:val="center"/>
        </w:trPr>
        <w:tc>
          <w:tcPr>
            <w:tcW w:w="4680" w:type="dxa"/>
            <w:vAlign w:val="center"/>
          </w:tcPr>
          <w:p w14:paraId="32E4F6A3" w14:textId="77777777" w:rsidR="00721AE4" w:rsidRDefault="00000000">
            <w:pPr>
              <w:jc w:val="center"/>
            </w:pPr>
            <w:r>
              <w:rPr>
                <w:rFonts w:ascii="宋体" w:hAnsi="宋体"/>
                <w:b/>
                <w:sz w:val="18"/>
              </w:rPr>
              <w:t>变量</w:t>
            </w:r>
          </w:p>
        </w:tc>
        <w:tc>
          <w:tcPr>
            <w:tcW w:w="4680" w:type="dxa"/>
            <w:vAlign w:val="center"/>
          </w:tcPr>
          <w:p w14:paraId="14D6A8BA" w14:textId="77777777" w:rsidR="00721AE4" w:rsidRDefault="00000000">
            <w:pPr>
              <w:jc w:val="center"/>
            </w:pPr>
            <w:r>
              <w:rPr>
                <w:rFonts w:ascii="宋体" w:hAnsi="宋体"/>
                <w:b/>
                <w:sz w:val="18"/>
              </w:rPr>
              <w:t>含义</w:t>
            </w:r>
          </w:p>
        </w:tc>
      </w:tr>
      <w:tr w:rsidR="00721AE4" w14:paraId="3D82EA35" w14:textId="77777777">
        <w:trPr>
          <w:jc w:val="center"/>
        </w:trPr>
        <w:tc>
          <w:tcPr>
            <w:tcW w:w="4680" w:type="dxa"/>
            <w:vAlign w:val="center"/>
          </w:tcPr>
          <w:p w14:paraId="3123BF82" w14:textId="77777777" w:rsidR="00721AE4" w:rsidRDefault="00000000">
            <w:pPr>
              <w:jc w:val="center"/>
            </w:pPr>
            <w:r>
              <w:rPr>
                <w:rFonts w:ascii="宋体" w:hAnsi="宋体"/>
                <w:sz w:val="18"/>
              </w:rPr>
              <w:t>x_kin{0,1}</w:t>
            </w:r>
          </w:p>
        </w:tc>
        <w:tc>
          <w:tcPr>
            <w:tcW w:w="4680" w:type="dxa"/>
            <w:vAlign w:val="center"/>
          </w:tcPr>
          <w:p w14:paraId="4376BECF" w14:textId="77777777" w:rsidR="00721AE4" w:rsidRDefault="00000000">
            <w:pPr>
              <w:jc w:val="center"/>
              <w:rPr>
                <w:lang w:eastAsia="zh-CN"/>
              </w:rPr>
            </w:pPr>
            <w:r>
              <w:rPr>
                <w:rFonts w:ascii="宋体" w:hAnsi="宋体"/>
                <w:sz w:val="18"/>
                <w:lang w:eastAsia="zh-CN"/>
              </w:rPr>
              <w:t>若候选站点 k 启用为地铁物流配送转运点，则 x_k=1，否则为 0</w:t>
            </w:r>
          </w:p>
        </w:tc>
      </w:tr>
      <w:tr w:rsidR="00721AE4" w14:paraId="6F7B22C9" w14:textId="77777777">
        <w:trPr>
          <w:jc w:val="center"/>
        </w:trPr>
        <w:tc>
          <w:tcPr>
            <w:tcW w:w="4680" w:type="dxa"/>
            <w:vAlign w:val="center"/>
          </w:tcPr>
          <w:p w14:paraId="625FD961" w14:textId="77777777" w:rsidR="00721AE4" w:rsidRDefault="00000000">
            <w:pPr>
              <w:jc w:val="center"/>
            </w:pPr>
            <w:r>
              <w:rPr>
                <w:rFonts w:ascii="宋体" w:hAnsi="宋体"/>
                <w:sz w:val="18"/>
              </w:rPr>
              <w:t>z_{ijk}in{0,1}</w:t>
            </w:r>
          </w:p>
        </w:tc>
        <w:tc>
          <w:tcPr>
            <w:tcW w:w="4680" w:type="dxa"/>
            <w:vAlign w:val="center"/>
          </w:tcPr>
          <w:p w14:paraId="12234E2F" w14:textId="77777777" w:rsidR="00721AE4" w:rsidRDefault="00000000">
            <w:pPr>
              <w:jc w:val="center"/>
              <w:rPr>
                <w:lang w:eastAsia="zh-CN"/>
              </w:rPr>
            </w:pPr>
            <w:r>
              <w:rPr>
                <w:rFonts w:ascii="宋体" w:hAnsi="宋体"/>
                <w:sz w:val="18"/>
                <w:lang w:eastAsia="zh-CN"/>
              </w:rPr>
              <w:t>若物流园区 i 至需求点 j 的货流整体分配至转运点 k，则 z_{ijk}=1，否则为 0</w:t>
            </w:r>
          </w:p>
        </w:tc>
      </w:tr>
      <w:tr w:rsidR="00721AE4" w14:paraId="2A7D50E2" w14:textId="77777777">
        <w:trPr>
          <w:jc w:val="center"/>
        </w:trPr>
        <w:tc>
          <w:tcPr>
            <w:tcW w:w="4680" w:type="dxa"/>
            <w:vAlign w:val="center"/>
          </w:tcPr>
          <w:p w14:paraId="61F25E52" w14:textId="77777777" w:rsidR="00721AE4" w:rsidRDefault="00000000">
            <w:pPr>
              <w:jc w:val="center"/>
            </w:pPr>
            <w:r>
              <w:rPr>
                <w:rFonts w:ascii="宋体" w:hAnsi="宋体"/>
                <w:sz w:val="18"/>
              </w:rPr>
              <w:t>o_{ij}in{0,1}</w:t>
            </w:r>
          </w:p>
        </w:tc>
        <w:tc>
          <w:tcPr>
            <w:tcW w:w="4680" w:type="dxa"/>
            <w:vAlign w:val="center"/>
          </w:tcPr>
          <w:p w14:paraId="2A195FCF" w14:textId="77777777" w:rsidR="00721AE4" w:rsidRDefault="00000000">
            <w:pPr>
              <w:jc w:val="center"/>
              <w:rPr>
                <w:lang w:eastAsia="zh-CN"/>
              </w:rPr>
            </w:pPr>
            <w:r>
              <w:rPr>
                <w:rFonts w:ascii="宋体" w:hAnsi="宋体"/>
                <w:sz w:val="18"/>
                <w:lang w:eastAsia="zh-CN"/>
              </w:rPr>
              <w:t>若物流园区 i 至需求点 j 的货流采用公路直送，则 o_{ij}=1，否则为 0</w:t>
            </w:r>
          </w:p>
        </w:tc>
      </w:tr>
      <w:tr w:rsidR="00721AE4" w14:paraId="7232375C" w14:textId="77777777">
        <w:trPr>
          <w:jc w:val="center"/>
        </w:trPr>
        <w:tc>
          <w:tcPr>
            <w:tcW w:w="4680" w:type="dxa"/>
            <w:vAlign w:val="center"/>
          </w:tcPr>
          <w:p w14:paraId="2494A8EC" w14:textId="77777777" w:rsidR="00721AE4" w:rsidRDefault="00000000">
            <w:pPr>
              <w:jc w:val="center"/>
            </w:pPr>
            <w:r>
              <w:rPr>
                <w:rFonts w:ascii="宋体" w:hAnsi="宋体"/>
                <w:sz w:val="18"/>
              </w:rPr>
              <w:t>y_{ijkell r}in{0,1}</w:t>
            </w:r>
          </w:p>
        </w:tc>
        <w:tc>
          <w:tcPr>
            <w:tcW w:w="4680" w:type="dxa"/>
            <w:vAlign w:val="center"/>
          </w:tcPr>
          <w:p w14:paraId="76212FC3" w14:textId="77777777" w:rsidR="00721AE4" w:rsidRDefault="00000000">
            <w:pPr>
              <w:jc w:val="center"/>
              <w:rPr>
                <w:lang w:eastAsia="zh-CN"/>
              </w:rPr>
            </w:pPr>
            <w:r>
              <w:rPr>
                <w:rFonts w:ascii="宋体" w:hAnsi="宋体"/>
                <w:sz w:val="18"/>
                <w:lang w:eastAsia="zh-CN"/>
              </w:rPr>
              <w:t>若货流 q_{ij} 经转运点 k 后装入线路 ell 第 r 趟列车，则为 1，否则为 0</w:t>
            </w:r>
          </w:p>
        </w:tc>
      </w:tr>
      <w:tr w:rsidR="00721AE4" w14:paraId="6DA5219C" w14:textId="77777777">
        <w:trPr>
          <w:jc w:val="center"/>
        </w:trPr>
        <w:tc>
          <w:tcPr>
            <w:tcW w:w="4680" w:type="dxa"/>
            <w:vAlign w:val="center"/>
          </w:tcPr>
          <w:p w14:paraId="0B82B771" w14:textId="77777777" w:rsidR="00721AE4" w:rsidRDefault="00000000">
            <w:pPr>
              <w:jc w:val="center"/>
            </w:pPr>
            <w:r>
              <w:rPr>
                <w:rFonts w:ascii="宋体" w:hAnsi="宋体"/>
                <w:sz w:val="18"/>
              </w:rPr>
              <w:t>w_{ell r}in{0,1}</w:t>
            </w:r>
          </w:p>
        </w:tc>
        <w:tc>
          <w:tcPr>
            <w:tcW w:w="4680" w:type="dxa"/>
            <w:vAlign w:val="center"/>
          </w:tcPr>
          <w:p w14:paraId="30C416A2" w14:textId="77777777" w:rsidR="00721AE4" w:rsidRDefault="00000000">
            <w:pPr>
              <w:jc w:val="center"/>
              <w:rPr>
                <w:lang w:eastAsia="zh-CN"/>
              </w:rPr>
            </w:pPr>
            <w:r>
              <w:rPr>
                <w:rFonts w:ascii="宋体" w:hAnsi="宋体"/>
                <w:sz w:val="18"/>
                <w:lang w:eastAsia="zh-CN"/>
              </w:rPr>
              <w:t>若线路 ell 第 r 趟平峰期列车被用于货运组织，则为 1，否则为 0</w:t>
            </w:r>
          </w:p>
        </w:tc>
      </w:tr>
    </w:tbl>
    <w:p w14:paraId="730758ED" w14:textId="77777777" w:rsidR="00721AE4" w:rsidRDefault="00000000">
      <w:pPr>
        <w:spacing w:line="360" w:lineRule="auto"/>
        <w:ind w:firstLine="480"/>
        <w:rPr>
          <w:lang w:eastAsia="zh-CN"/>
        </w:rPr>
      </w:pPr>
      <w:r>
        <w:rPr>
          <w:rFonts w:ascii="宋体" w:hAnsi="宋体"/>
          <w:lang w:eastAsia="zh-CN"/>
        </w:rPr>
        <w:t>在代码实现中，染色体显式编码 x_k 和货流分配基因；列车班次变量 w_{ℓr} 与货流装载关系 y_{ijkℓr} 不作为染色体显式基因，而是在方案评价阶段通过不可拆分装箱校验实现。</w:t>
      </w:r>
    </w:p>
    <w:p w14:paraId="7BEB74A7" w14:textId="77777777" w:rsidR="001C3851" w:rsidRDefault="00000000">
      <w:pPr>
        <w:spacing w:line="360" w:lineRule="auto"/>
        <w:ind w:firstLine="480"/>
        <w:rPr>
          <w:lang w:eastAsia="zh-CN"/>
        </w:rPr>
      </w:pPr>
      <w:r>
        <w:rPr>
          <w:rFonts w:ascii="宋体" w:hAnsi="宋体"/>
          <w:lang w:eastAsia="zh-CN"/>
        </w:rPr>
        <w:t>需要说明的是，x_k、z_{ijk} 和 o_{ij} 是模型中的核心决策变量，分别对应转运点启用、地铁转运分配和公路直送选择；y_{ijkℓr} 与 w_{ℓr} 是线路班次装载校验中的辅助变量，用于在方案评价阶段判断货流是否满足路径、班次和列车容量约束。该处理能够降低染色体编码维度，同时保证线路运营约束在评价阶段得到校验。</w:t>
      </w:r>
    </w:p>
    <w:p w14:paraId="12E734EA" w14:textId="77777777" w:rsidR="00721AE4" w:rsidRDefault="00000000">
      <w:pPr>
        <w:pStyle w:val="21"/>
        <w:rPr>
          <w:lang w:eastAsia="zh-CN"/>
        </w:rPr>
      </w:pPr>
      <w:r>
        <w:rPr>
          <w:rFonts w:ascii="黑体" w:eastAsia="黑体" w:hAnsi="黑体"/>
          <w:lang w:eastAsia="zh-CN"/>
        </w:rPr>
        <w:lastRenderedPageBreak/>
        <w:t>4.3 地铁物流配送转运点布局优化模型构建</w:t>
      </w:r>
    </w:p>
    <w:p w14:paraId="4AE5AD6E" w14:textId="77777777" w:rsidR="00721AE4" w:rsidRDefault="00000000">
      <w:pPr>
        <w:pStyle w:val="31"/>
        <w:rPr>
          <w:lang w:eastAsia="zh-CN"/>
        </w:rPr>
      </w:pPr>
      <w:r>
        <w:rPr>
          <w:rFonts w:ascii="黑体" w:eastAsia="黑体" w:hAnsi="黑体"/>
          <w:lang w:eastAsia="zh-CN"/>
        </w:rPr>
        <w:t>4.3.1 目标函数分析</w:t>
      </w:r>
    </w:p>
    <w:p w14:paraId="683B262E" w14:textId="77777777" w:rsidR="00721AE4" w:rsidRDefault="00000000">
      <w:pPr>
        <w:spacing w:line="360" w:lineRule="auto"/>
        <w:ind w:firstLine="480"/>
        <w:rPr>
          <w:lang w:eastAsia="zh-CN"/>
        </w:rPr>
      </w:pPr>
      <w:r>
        <w:rPr>
          <w:rFonts w:ascii="宋体" w:hAnsi="宋体"/>
          <w:lang w:eastAsia="zh-CN"/>
        </w:rPr>
        <w:t>本文构建双目标模型。目标一为综合成本最小化，反映地铁物流配送系统启用、运输、换乘、装卸、接驳、碳排放和班次组织等成本；目标二为地铁服务比例最大化，反映全部需求中由地铁物流系统承接的比例。</w:t>
      </w:r>
    </w:p>
    <w:p w14:paraId="4034AF04" w14:textId="77777777" w:rsidR="00721AE4" w:rsidRDefault="00000000">
      <w:pPr>
        <w:spacing w:line="360" w:lineRule="auto"/>
        <w:ind w:firstLine="480"/>
        <w:rPr>
          <w:lang w:eastAsia="zh-CN"/>
        </w:rPr>
      </w:pPr>
      <w:r>
        <w:rPr>
          <w:rFonts w:ascii="宋体" w:hAnsi="宋体"/>
          <w:b/>
        </w:rPr>
        <w:t>（1）综合成本最小化</w:t>
      </w:r>
    </w:p>
    <w:p w14:paraId="402B1368" w14:textId="77777777" w:rsidR="00721AE4" w:rsidRDefault="00000000">
      <w:pPr>
        <w:spacing w:line="360" w:lineRule="auto"/>
        <w:ind w:firstLine="480"/>
        <w:rPr>
          <w:lang w:eastAsia="zh-CN"/>
        </w:rPr>
      </w:pPr>
      <w:r>
        <w:rPr>
          <w:rFonts w:ascii="宋体" w:hAnsi="宋体"/>
          <w:lang w:eastAsia="zh-CN"/>
        </w:rPr>
        <w:t>综合成本由固定启用成本、公路直送成本、公路接入成本、地铁运输成本、换乘成本、进出站作业成本、末端接驳成本、碳成本和平峰期货运班次组织成本构成：</w:t>
      </w:r>
    </w:p>
    <w:p w14:paraId="4F944649" w14:textId="77777777" w:rsidR="001C3851" w:rsidRDefault="00000000">
      <w:pPr>
        <w:spacing w:line="360" w:lineRule="auto"/>
        <w:ind w:firstLine="480"/>
        <w:rPr>
          <w:lang w:eastAsia="zh-CN"/>
        </w:rPr>
      </w:pPr>
      <w:r>
        <w:rPr>
          <w:rFonts w:ascii="宋体" w:hAnsi="宋体"/>
          <w:lang w:eastAsia="zh-CN"/>
        </w:rPr>
        <w:t>本文综合成本目标主要计入不同布局方案之间发生差异的增量成本。对于基础分拣、常规交接和既有配送管理等各方案均会发生的共同成本，不单独纳入目标函数，以避免重复计量并突出转运点布局决策对系统成本的边际影响。</w:t>
      </w:r>
    </w:p>
    <w:p w14:paraId="06593FA1" w14:textId="77777777" w:rsidR="00721AE4" w:rsidRDefault="00000000">
      <w:pPr>
        <w:spacing w:line="360" w:lineRule="auto"/>
        <w:ind w:firstLine="480"/>
        <w:jc w:val="center"/>
      </w:pPr>
      <w:r>
        <w:rPr>
          <w:rFonts w:ascii="Cambria Math" w:eastAsia="Cambria Math" w:hAnsi="Cambria Math"/>
        </w:rPr>
        <w:t>min Z₁ = C^F + C^R + C^A + C^M + C^{TR} + C^{IO} + C^E + C^C + C^{OC}</w:t>
      </w:r>
    </w:p>
    <w:p w14:paraId="28EAC68D" w14:textId="77777777" w:rsidR="00721AE4" w:rsidRDefault="00000000">
      <w:pPr>
        <w:spacing w:line="360" w:lineRule="auto"/>
        <w:ind w:firstLine="480"/>
        <w:rPr>
          <w:lang w:eastAsia="zh-CN"/>
        </w:rPr>
      </w:pPr>
      <w:r>
        <w:rPr>
          <w:rFonts w:ascii="宋体" w:hAnsi="宋体"/>
          <w:lang w:eastAsia="zh-CN"/>
        </w:rPr>
        <w:t>其中，固定启用成本为：</w:t>
      </w:r>
    </w:p>
    <w:p w14:paraId="51CFD880" w14:textId="77777777" w:rsidR="00721AE4" w:rsidRDefault="00000000">
      <w:pPr>
        <w:spacing w:line="360" w:lineRule="auto"/>
        <w:ind w:firstLine="480"/>
        <w:jc w:val="center"/>
      </w:pPr>
      <w:r>
        <w:rPr>
          <w:rFonts w:ascii="Cambria Math" w:eastAsia="Cambria Math" w:hAnsi="Cambria Math"/>
        </w:rPr>
        <w:t>C^F = ∑_{k∈K} F_k x_k</w:t>
      </w:r>
    </w:p>
    <w:p w14:paraId="2DB19911" w14:textId="77777777" w:rsidR="00721AE4" w:rsidRDefault="00000000">
      <w:pPr>
        <w:spacing w:line="360" w:lineRule="auto"/>
        <w:ind w:firstLine="480"/>
      </w:pPr>
      <w:r>
        <w:rPr>
          <w:rFonts w:ascii="宋体" w:hAnsi="宋体"/>
        </w:rPr>
        <w:t>公路直送成本为：</w:t>
      </w:r>
    </w:p>
    <w:p w14:paraId="1149F09A" w14:textId="77777777" w:rsidR="00721AE4" w:rsidRDefault="00000000">
      <w:pPr>
        <w:spacing w:line="360" w:lineRule="auto"/>
        <w:ind w:firstLine="480"/>
        <w:jc w:val="center"/>
      </w:pPr>
      <w:r>
        <w:rPr>
          <w:rFonts w:ascii="Cambria Math" w:eastAsia="Cambria Math" w:hAnsi="Cambria Math"/>
        </w:rPr>
        <w:t>C^R = ∑_{i∈I}∑_{j∈J} q_{ij} c^R d^R_{ij} o_{ij}</w:t>
      </w:r>
    </w:p>
    <w:p w14:paraId="5CA00C1A" w14:textId="77777777" w:rsidR="00721AE4" w:rsidRDefault="00000000">
      <w:pPr>
        <w:spacing w:line="360" w:lineRule="auto"/>
        <w:ind w:firstLine="480"/>
        <w:rPr>
          <w:lang w:eastAsia="zh-CN"/>
        </w:rPr>
      </w:pPr>
      <w:r>
        <w:rPr>
          <w:rFonts w:ascii="宋体" w:hAnsi="宋体"/>
          <w:lang w:eastAsia="zh-CN"/>
        </w:rPr>
        <w:t>物流园区至接入地铁站的公路接入成本为：</w:t>
      </w:r>
    </w:p>
    <w:p w14:paraId="02FD1837" w14:textId="77777777" w:rsidR="00721AE4" w:rsidRDefault="00000000">
      <w:pPr>
        <w:spacing w:line="360" w:lineRule="auto"/>
        <w:ind w:firstLine="480"/>
        <w:jc w:val="center"/>
      </w:pPr>
      <w:r>
        <w:rPr>
          <w:rFonts w:ascii="Cambria Math" w:eastAsia="Cambria Math" w:hAnsi="Cambria Math"/>
        </w:rPr>
        <w:t>C^A = ∑_{i∈I}∑_{j∈J}∑_{k∈K} q_{ij} c^R d^A_i z_{ijk}</w:t>
      </w:r>
    </w:p>
    <w:p w14:paraId="4296B67E" w14:textId="77777777" w:rsidR="00721AE4" w:rsidRDefault="00000000">
      <w:pPr>
        <w:spacing w:line="360" w:lineRule="auto"/>
        <w:ind w:firstLine="480"/>
        <w:rPr>
          <w:lang w:eastAsia="zh-CN"/>
        </w:rPr>
      </w:pPr>
      <w:r>
        <w:rPr>
          <w:rFonts w:ascii="宋体" w:hAnsi="宋体"/>
          <w:lang w:eastAsia="zh-CN"/>
        </w:rPr>
        <w:t>地铁运输成本为：</w:t>
      </w:r>
    </w:p>
    <w:p w14:paraId="2AE3E8AD" w14:textId="77777777" w:rsidR="00721AE4" w:rsidRDefault="00000000">
      <w:pPr>
        <w:spacing w:line="360" w:lineRule="auto"/>
        <w:ind w:firstLine="480"/>
        <w:jc w:val="center"/>
        <w:rPr>
          <w:lang w:eastAsia="zh-CN"/>
        </w:rPr>
      </w:pPr>
      <w:r>
        <w:rPr>
          <w:rFonts w:ascii="Cambria Math" w:eastAsia="Cambria Math" w:hAnsi="Cambria Math"/>
          <w:lang w:eastAsia="zh-CN"/>
        </w:rPr>
        <w:t>C^M = ∑_{i∈I}∑_{j∈J}∑_{k∈K} q_{ij} c^M d^M_{ik} z_{ijk}</w:t>
      </w:r>
    </w:p>
    <w:p w14:paraId="04620AB8" w14:textId="77777777" w:rsidR="00721AE4" w:rsidRDefault="00000000">
      <w:pPr>
        <w:spacing w:line="360" w:lineRule="auto"/>
        <w:ind w:firstLine="480"/>
        <w:rPr>
          <w:lang w:eastAsia="zh-CN"/>
        </w:rPr>
      </w:pPr>
      <w:r>
        <w:rPr>
          <w:rFonts w:ascii="宋体" w:hAnsi="宋体"/>
          <w:lang w:eastAsia="zh-CN"/>
        </w:rPr>
        <w:t>换乘成本为：</w:t>
      </w:r>
    </w:p>
    <w:p w14:paraId="4041EE77" w14:textId="77777777" w:rsidR="00721AE4" w:rsidRDefault="00000000">
      <w:pPr>
        <w:spacing w:line="360" w:lineRule="auto"/>
        <w:ind w:firstLine="480"/>
        <w:jc w:val="center"/>
        <w:rPr>
          <w:lang w:eastAsia="zh-CN"/>
        </w:rPr>
      </w:pPr>
      <w:r>
        <w:rPr>
          <w:rFonts w:ascii="Cambria Math" w:eastAsia="Cambria Math" w:hAnsi="Cambria Math"/>
          <w:lang w:eastAsia="zh-CN"/>
        </w:rPr>
        <w:t xml:space="preserve">C^{TR} = ∑_{i∈I}∑_{j∈J}∑_{k∈K} q_{ij} c^{TR} </w:t>
      </w:r>
      <w:r>
        <w:rPr>
          <w:rFonts w:ascii="Cambria Math" w:eastAsia="Cambria Math" w:hAnsi="Cambria Math"/>
        </w:rPr>
        <w:t>τ</w:t>
      </w:r>
      <w:r>
        <w:rPr>
          <w:rFonts w:ascii="Cambria Math" w:eastAsia="Cambria Math" w:hAnsi="Cambria Math"/>
          <w:lang w:eastAsia="zh-CN"/>
        </w:rPr>
        <w:t>_{ik} z_{ijk}</w:t>
      </w:r>
    </w:p>
    <w:p w14:paraId="3C6618DB" w14:textId="77777777" w:rsidR="00721AE4" w:rsidRDefault="00000000">
      <w:pPr>
        <w:spacing w:line="360" w:lineRule="auto"/>
        <w:ind w:firstLine="480"/>
        <w:rPr>
          <w:lang w:eastAsia="zh-CN"/>
        </w:rPr>
      </w:pPr>
      <w:r>
        <w:rPr>
          <w:rFonts w:ascii="宋体" w:hAnsi="宋体"/>
          <w:lang w:eastAsia="zh-CN"/>
        </w:rPr>
        <w:lastRenderedPageBreak/>
        <w:t>进出站作业成本为：</w:t>
      </w:r>
    </w:p>
    <w:p w14:paraId="33D46A4B" w14:textId="77777777" w:rsidR="00721AE4" w:rsidRDefault="00000000">
      <w:pPr>
        <w:spacing w:line="360" w:lineRule="auto"/>
        <w:ind w:firstLine="480"/>
        <w:jc w:val="center"/>
        <w:rPr>
          <w:lang w:eastAsia="zh-CN"/>
        </w:rPr>
      </w:pPr>
      <w:r>
        <w:rPr>
          <w:rFonts w:ascii="Cambria Math" w:eastAsia="Cambria Math" w:hAnsi="Cambria Math"/>
          <w:lang w:eastAsia="zh-CN"/>
        </w:rPr>
        <w:t>C^{IO} = ∑_{i∈I}∑_{j∈J}∑_{k∈K} q_{ij} c^{IO} z_{ijk}</w:t>
      </w:r>
    </w:p>
    <w:p w14:paraId="76FE85D3" w14:textId="77777777" w:rsidR="00721AE4" w:rsidRDefault="00000000">
      <w:pPr>
        <w:spacing w:line="360" w:lineRule="auto"/>
        <w:ind w:firstLine="480"/>
      </w:pPr>
      <w:r>
        <w:rPr>
          <w:rFonts w:ascii="宋体" w:hAnsi="宋体"/>
        </w:rPr>
        <w:t>末端接驳成本为：</w:t>
      </w:r>
    </w:p>
    <w:p w14:paraId="1D60F3E7" w14:textId="77777777" w:rsidR="00721AE4" w:rsidRDefault="00000000">
      <w:pPr>
        <w:spacing w:line="360" w:lineRule="auto"/>
        <w:ind w:firstLine="480"/>
        <w:jc w:val="center"/>
      </w:pPr>
      <w:r>
        <w:rPr>
          <w:rFonts w:ascii="Cambria Math" w:eastAsia="Cambria Math" w:hAnsi="Cambria Math"/>
        </w:rPr>
        <w:t>C^E = ∑_{i∈I}∑_{j∈J}∑_{k∈K} q_{ij} c^E d^E_{kj} z_{ijk}</w:t>
      </w:r>
    </w:p>
    <w:p w14:paraId="2B79AF53" w14:textId="77777777" w:rsidR="00721AE4" w:rsidRDefault="00000000">
      <w:pPr>
        <w:spacing w:line="360" w:lineRule="auto"/>
        <w:ind w:firstLine="480"/>
        <w:rPr>
          <w:lang w:eastAsia="zh-CN"/>
        </w:rPr>
      </w:pPr>
      <w:r>
        <w:rPr>
          <w:rFonts w:ascii="宋体" w:hAnsi="宋体"/>
          <w:lang w:eastAsia="zh-CN"/>
        </w:rPr>
        <w:t>碳成本按“排放因子</w:t>
      </w:r>
      <w:r w:rsidR="009E7E74">
        <w:rPr>
          <w:rFonts w:ascii="宋体" w:hAnsi="宋体" w:hint="eastAsia"/>
          <w:lang w:eastAsia="zh-CN"/>
        </w:rPr>
        <w:t>×</w:t>
      </w:r>
      <w:r>
        <w:rPr>
          <w:rFonts w:ascii="宋体" w:hAnsi="宋体"/>
          <w:lang w:eastAsia="zh-CN"/>
        </w:rPr>
        <w:t>碳价格”的方式计算，包括公路直送、物流园区至接入地铁站、地铁运输和末端接驳四个部分：</w:t>
      </w:r>
    </w:p>
    <w:p w14:paraId="7647C4C9" w14:textId="77777777" w:rsidR="00721AE4" w:rsidRDefault="00000000">
      <w:pPr>
        <w:spacing w:line="360" w:lineRule="auto"/>
        <w:ind w:firstLine="480"/>
        <w:jc w:val="center"/>
      </w:pPr>
      <w:r>
        <w:rPr>
          <w:rFonts w:ascii="Cambria Math" w:eastAsia="Cambria Math" w:hAnsi="Cambria Math"/>
        </w:rPr>
        <w:t>C^C = ∑_{i∈I}∑_{j∈J} q_{ij}(e^Rλ^C)d^R_{ij}o_{ij} + ∑_{i∈I}∑_{j∈J}∑_{k∈K} q_{ij}(e^Rλ^C)d^A_i z_{ijk} + ∑_{i∈I}∑_{j∈J}∑_{k∈K} q_{ij}(e^Mλ^C)d^M_{ik}z_{ijk} + ∑_{i∈I}∑_{j∈J}∑_{k∈K} q_{ij}(e^Eλ^C)d^E_{kj}z_{ijk}</w:t>
      </w:r>
    </w:p>
    <w:p w14:paraId="3A5557B8" w14:textId="77777777" w:rsidR="00721AE4" w:rsidRDefault="00000000">
      <w:pPr>
        <w:spacing w:line="360" w:lineRule="auto"/>
        <w:ind w:firstLine="480"/>
        <w:rPr>
          <w:lang w:eastAsia="zh-CN"/>
        </w:rPr>
      </w:pPr>
      <w:r>
        <w:rPr>
          <w:rFonts w:ascii="宋体" w:hAnsi="宋体"/>
          <w:lang w:eastAsia="zh-CN"/>
        </w:rPr>
        <w:t>平峰期货运班次组织成本为：</w:t>
      </w:r>
    </w:p>
    <w:p w14:paraId="7712FBB1" w14:textId="77777777" w:rsidR="00721AE4" w:rsidRDefault="00000000">
      <w:pPr>
        <w:spacing w:line="360" w:lineRule="auto"/>
        <w:ind w:firstLine="480"/>
        <w:jc w:val="center"/>
      </w:pPr>
      <w:r>
        <w:rPr>
          <w:rFonts w:ascii="Cambria Math" w:eastAsia="Cambria Math" w:hAnsi="Cambria Math"/>
        </w:rPr>
        <w:t>C^{OC} = ∑_{ℓ∈L}∑_{r∈R_ℓ} θ^{fre} G_ℓ w_{ℓr}</w:t>
      </w:r>
    </w:p>
    <w:p w14:paraId="2E4EAAF1" w14:textId="77777777" w:rsidR="00721AE4" w:rsidRDefault="00000000">
      <w:pPr>
        <w:spacing w:line="360" w:lineRule="auto"/>
        <w:ind w:firstLine="480"/>
        <w:rPr>
          <w:lang w:eastAsia="zh-CN"/>
        </w:rPr>
      </w:pPr>
      <w:r>
        <w:rPr>
          <w:rFonts w:ascii="宋体" w:hAnsi="宋体"/>
          <w:lang w:eastAsia="zh-CN"/>
        </w:rPr>
        <w:t>该成本表示既有平峰客运列车参与货运组织时产生的站台协调、人员调度、货物交接与车厢空间占用成本，不表示新增整列车完整运行成本。</w:t>
      </w:r>
    </w:p>
    <w:p w14:paraId="1B0099EC" w14:textId="77777777" w:rsidR="00721AE4" w:rsidRDefault="00000000">
      <w:pPr>
        <w:spacing w:line="360" w:lineRule="auto"/>
        <w:ind w:firstLine="480"/>
        <w:rPr>
          <w:lang w:eastAsia="zh-CN"/>
        </w:rPr>
      </w:pPr>
      <w:r>
        <w:rPr>
          <w:rFonts w:ascii="宋体" w:hAnsi="宋体"/>
          <w:b/>
          <w:lang w:eastAsia="zh-CN"/>
        </w:rPr>
        <w:t>（2）地铁服务比例最大化</w:t>
      </w:r>
    </w:p>
    <w:p w14:paraId="011DB952" w14:textId="77777777" w:rsidR="00721AE4" w:rsidRDefault="00000000">
      <w:pPr>
        <w:spacing w:line="360" w:lineRule="auto"/>
        <w:ind w:firstLine="480"/>
        <w:rPr>
          <w:lang w:eastAsia="zh-CN"/>
        </w:rPr>
      </w:pPr>
      <w:r>
        <w:rPr>
          <w:rFonts w:ascii="宋体" w:hAnsi="宋体"/>
          <w:lang w:eastAsia="zh-CN"/>
        </w:rPr>
        <w:t>地铁服务比例用于刻画全部物流需求中由地铁物流配送系统承接的比例：</w:t>
      </w:r>
    </w:p>
    <w:p w14:paraId="6C5B364F" w14:textId="77777777" w:rsidR="00721AE4" w:rsidRDefault="00000000">
      <w:pPr>
        <w:spacing w:line="360" w:lineRule="auto"/>
        <w:ind w:firstLine="480"/>
        <w:jc w:val="center"/>
      </w:pPr>
      <w:r>
        <w:rPr>
          <w:rFonts w:ascii="Cambria Math" w:eastAsia="Cambria Math" w:hAnsi="Cambria Math"/>
        </w:rPr>
        <w:t>max Z₂ = (∑_{i∈I}∑_{j∈J}∑_{k∈K} q_{ij} z_{ijk}) / (∑_{i∈I}∑_{j∈J} q_{ij})</w:t>
      </w:r>
    </w:p>
    <w:p w14:paraId="023F6566" w14:textId="77777777" w:rsidR="00721AE4" w:rsidRDefault="00000000">
      <w:pPr>
        <w:spacing w:line="360" w:lineRule="auto"/>
        <w:ind w:firstLine="480"/>
        <w:rPr>
          <w:lang w:eastAsia="zh-CN"/>
        </w:rPr>
      </w:pPr>
      <w:r>
        <w:rPr>
          <w:rFonts w:ascii="宋体" w:hAnsi="宋体"/>
          <w:lang w:eastAsia="zh-CN"/>
        </w:rPr>
        <w:t>在算法求解中，为适配 NSGA-II 的最小化目标形式，将第二目标转化为 -Z_2，即算法目标向量为：</w:t>
      </w:r>
    </w:p>
    <w:p w14:paraId="552199E6" w14:textId="77777777" w:rsidR="00721AE4" w:rsidRDefault="00000000">
      <w:pPr>
        <w:spacing w:line="360" w:lineRule="auto"/>
        <w:ind w:firstLine="480"/>
        <w:jc w:val="center"/>
        <w:rPr>
          <w:lang w:eastAsia="zh-CN"/>
        </w:rPr>
      </w:pPr>
      <w:r>
        <w:rPr>
          <w:rFonts w:ascii="Cambria Math" w:eastAsia="Cambria Math" w:hAnsi="Cambria Math"/>
          <w:lang w:eastAsia="zh-CN"/>
        </w:rPr>
        <w:t>f(x,z) = [Z₁, -Z₂]</w:t>
      </w:r>
    </w:p>
    <w:p w14:paraId="0519EDF8" w14:textId="77777777" w:rsidR="00721AE4" w:rsidRDefault="00000000">
      <w:pPr>
        <w:pStyle w:val="31"/>
        <w:rPr>
          <w:lang w:eastAsia="zh-CN"/>
        </w:rPr>
      </w:pPr>
      <w:r>
        <w:rPr>
          <w:rFonts w:ascii="黑体" w:eastAsia="黑体" w:hAnsi="黑体"/>
          <w:lang w:eastAsia="zh-CN"/>
        </w:rPr>
        <w:t>4.3.2 约束条件分析</w:t>
      </w:r>
    </w:p>
    <w:p w14:paraId="4ECAEC4E" w14:textId="77777777" w:rsidR="001C3851" w:rsidRDefault="00000000">
      <w:pPr>
        <w:spacing w:line="360" w:lineRule="auto"/>
        <w:ind w:firstLine="480"/>
        <w:rPr>
          <w:lang w:eastAsia="zh-CN"/>
        </w:rPr>
      </w:pPr>
      <w:r>
        <w:rPr>
          <w:rFonts w:ascii="宋体" w:hAnsi="宋体"/>
          <w:lang w:eastAsia="zh-CN"/>
        </w:rPr>
        <w:t>为提高约束体系的可读性，本文将选址—分配模型中的约束划分为分配逻辑、空间服务、站点能力、线路运营和变量取值五类，如表 4-4 所示。</w:t>
      </w:r>
    </w:p>
    <w:tbl>
      <w:tblPr>
        <w:tblStyle w:val="aff1"/>
        <w:tblW w:w="0" w:type="auto"/>
        <w:jc w:val="center"/>
        <w:tblLook w:val="04A0" w:firstRow="1" w:lastRow="0" w:firstColumn="1" w:lastColumn="0" w:noHBand="0" w:noVBand="1"/>
      </w:tblPr>
      <w:tblGrid>
        <w:gridCol w:w="3120"/>
        <w:gridCol w:w="3120"/>
        <w:gridCol w:w="3120"/>
      </w:tblGrid>
      <w:tr w:rsidR="001C3851" w14:paraId="5C691857" w14:textId="77777777">
        <w:trPr>
          <w:jc w:val="center"/>
        </w:trPr>
        <w:tc>
          <w:tcPr>
            <w:tcW w:w="3120" w:type="dxa"/>
            <w:vAlign w:val="center"/>
          </w:tcPr>
          <w:p w14:paraId="59D8426D" w14:textId="77777777" w:rsidR="001C3851" w:rsidRDefault="00000000">
            <w:r>
              <w:rPr>
                <w:rFonts w:ascii="宋体" w:hAnsi="宋体"/>
                <w:b/>
                <w:sz w:val="18"/>
              </w:rPr>
              <w:lastRenderedPageBreak/>
              <w:t>约束类别</w:t>
            </w:r>
          </w:p>
        </w:tc>
        <w:tc>
          <w:tcPr>
            <w:tcW w:w="3120" w:type="dxa"/>
            <w:vAlign w:val="center"/>
          </w:tcPr>
          <w:p w14:paraId="5879447C" w14:textId="77777777" w:rsidR="001C3851" w:rsidRDefault="00000000">
            <w:r>
              <w:rPr>
                <w:rFonts w:ascii="宋体" w:hAnsi="宋体"/>
                <w:b/>
                <w:sz w:val="18"/>
              </w:rPr>
              <w:t>主要作用</w:t>
            </w:r>
          </w:p>
        </w:tc>
        <w:tc>
          <w:tcPr>
            <w:tcW w:w="3120" w:type="dxa"/>
            <w:vAlign w:val="center"/>
          </w:tcPr>
          <w:p w14:paraId="3F4530AC" w14:textId="77777777" w:rsidR="001C3851" w:rsidRDefault="00000000">
            <w:r>
              <w:rPr>
                <w:rFonts w:ascii="宋体" w:hAnsi="宋体"/>
                <w:b/>
                <w:sz w:val="18"/>
              </w:rPr>
              <w:t>对应约束</w:t>
            </w:r>
          </w:p>
        </w:tc>
      </w:tr>
      <w:tr w:rsidR="001C3851" w14:paraId="18C60BF2" w14:textId="77777777">
        <w:trPr>
          <w:jc w:val="center"/>
        </w:trPr>
        <w:tc>
          <w:tcPr>
            <w:tcW w:w="3120" w:type="dxa"/>
            <w:vAlign w:val="center"/>
          </w:tcPr>
          <w:p w14:paraId="46D7A3FC" w14:textId="77777777" w:rsidR="001C3851" w:rsidRDefault="00000000">
            <w:r>
              <w:rPr>
                <w:rFonts w:ascii="宋体" w:hAnsi="宋体"/>
                <w:sz w:val="18"/>
              </w:rPr>
              <w:t>分配逻辑约束</w:t>
            </w:r>
          </w:p>
        </w:tc>
        <w:tc>
          <w:tcPr>
            <w:tcW w:w="3120" w:type="dxa"/>
            <w:vAlign w:val="center"/>
          </w:tcPr>
          <w:p w14:paraId="59BAE757" w14:textId="77777777" w:rsidR="001C3851" w:rsidRDefault="00000000">
            <w:pPr>
              <w:rPr>
                <w:lang w:eastAsia="zh-CN"/>
              </w:rPr>
            </w:pPr>
            <w:r>
              <w:rPr>
                <w:rFonts w:ascii="宋体" w:hAnsi="宋体"/>
                <w:sz w:val="18"/>
                <w:lang w:eastAsia="zh-CN"/>
              </w:rPr>
              <w:t>保证每组货流只能选择地铁转运或公路直送，并确保货流仅分配至已启用转运点</w:t>
            </w:r>
          </w:p>
        </w:tc>
        <w:tc>
          <w:tcPr>
            <w:tcW w:w="3120" w:type="dxa"/>
            <w:vAlign w:val="center"/>
          </w:tcPr>
          <w:p w14:paraId="7249EAEA" w14:textId="77777777" w:rsidR="001C3851" w:rsidRDefault="00000000">
            <w:pPr>
              <w:rPr>
                <w:lang w:eastAsia="zh-CN"/>
              </w:rPr>
            </w:pPr>
            <w:r>
              <w:rPr>
                <w:rFonts w:ascii="宋体" w:hAnsi="宋体"/>
                <w:sz w:val="18"/>
                <w:lang w:eastAsia="zh-CN"/>
              </w:rPr>
              <w:t>货流不可拆分约束、转运点启用约束</w:t>
            </w:r>
          </w:p>
        </w:tc>
      </w:tr>
      <w:tr w:rsidR="001C3851" w14:paraId="212BC8E7" w14:textId="77777777">
        <w:trPr>
          <w:jc w:val="center"/>
        </w:trPr>
        <w:tc>
          <w:tcPr>
            <w:tcW w:w="3120" w:type="dxa"/>
            <w:vAlign w:val="center"/>
          </w:tcPr>
          <w:p w14:paraId="00C4FCFD" w14:textId="77777777" w:rsidR="001C3851" w:rsidRDefault="00000000">
            <w:r>
              <w:rPr>
                <w:rFonts w:ascii="宋体" w:hAnsi="宋体"/>
                <w:sz w:val="18"/>
              </w:rPr>
              <w:t>空间服务约束</w:t>
            </w:r>
          </w:p>
        </w:tc>
        <w:tc>
          <w:tcPr>
            <w:tcW w:w="3120" w:type="dxa"/>
            <w:vAlign w:val="center"/>
          </w:tcPr>
          <w:p w14:paraId="202A209F" w14:textId="77777777" w:rsidR="001C3851" w:rsidRDefault="00000000">
            <w:pPr>
              <w:rPr>
                <w:lang w:eastAsia="zh-CN"/>
              </w:rPr>
            </w:pPr>
            <w:r>
              <w:rPr>
                <w:rFonts w:ascii="宋体" w:hAnsi="宋体"/>
                <w:sz w:val="18"/>
                <w:lang w:eastAsia="zh-CN"/>
              </w:rPr>
              <w:t>保证转运点服务范围和空间布局满足末端接驳与节点分布要求</w:t>
            </w:r>
          </w:p>
        </w:tc>
        <w:tc>
          <w:tcPr>
            <w:tcW w:w="3120" w:type="dxa"/>
            <w:vAlign w:val="center"/>
          </w:tcPr>
          <w:p w14:paraId="0B323BC6" w14:textId="77777777" w:rsidR="001C3851" w:rsidRDefault="00000000">
            <w:pPr>
              <w:rPr>
                <w:lang w:eastAsia="zh-CN"/>
              </w:rPr>
            </w:pPr>
            <w:r>
              <w:rPr>
                <w:rFonts w:ascii="宋体" w:hAnsi="宋体"/>
                <w:sz w:val="18"/>
                <w:lang w:eastAsia="zh-CN"/>
              </w:rPr>
              <w:t>4 km 末端接驳服务边界、最大换乘次数、最小间距约束</w:t>
            </w:r>
          </w:p>
        </w:tc>
      </w:tr>
      <w:tr w:rsidR="001C3851" w14:paraId="2EF5D3FC" w14:textId="77777777">
        <w:trPr>
          <w:jc w:val="center"/>
        </w:trPr>
        <w:tc>
          <w:tcPr>
            <w:tcW w:w="3120" w:type="dxa"/>
            <w:vAlign w:val="center"/>
          </w:tcPr>
          <w:p w14:paraId="27C6F6F6" w14:textId="77777777" w:rsidR="001C3851" w:rsidRDefault="00000000">
            <w:r>
              <w:rPr>
                <w:rFonts w:ascii="宋体" w:hAnsi="宋体"/>
                <w:sz w:val="18"/>
              </w:rPr>
              <w:t>站点能力约束</w:t>
            </w:r>
          </w:p>
        </w:tc>
        <w:tc>
          <w:tcPr>
            <w:tcW w:w="3120" w:type="dxa"/>
            <w:vAlign w:val="center"/>
          </w:tcPr>
          <w:p w14:paraId="16FCFD92" w14:textId="77777777" w:rsidR="001C3851" w:rsidRDefault="00000000">
            <w:pPr>
              <w:rPr>
                <w:lang w:eastAsia="zh-CN"/>
              </w:rPr>
            </w:pPr>
            <w:r>
              <w:rPr>
                <w:rFonts w:ascii="宋体" w:hAnsi="宋体"/>
                <w:sz w:val="18"/>
                <w:lang w:eastAsia="zh-CN"/>
              </w:rPr>
              <w:t>控制转运点处理能力和负载率，避免低效启用或过载运行</w:t>
            </w:r>
          </w:p>
        </w:tc>
        <w:tc>
          <w:tcPr>
            <w:tcW w:w="3120" w:type="dxa"/>
            <w:vAlign w:val="center"/>
          </w:tcPr>
          <w:p w14:paraId="02987CBB" w14:textId="77777777" w:rsidR="001C3851" w:rsidRDefault="00000000">
            <w:pPr>
              <w:rPr>
                <w:lang w:eastAsia="zh-CN"/>
              </w:rPr>
            </w:pPr>
            <w:r>
              <w:rPr>
                <w:rFonts w:ascii="宋体" w:hAnsi="宋体"/>
                <w:sz w:val="18"/>
                <w:lang w:eastAsia="zh-CN"/>
              </w:rPr>
              <w:t>处理能力约束、最低/最高负载率约束</w:t>
            </w:r>
          </w:p>
        </w:tc>
      </w:tr>
      <w:tr w:rsidR="001C3851" w14:paraId="5AAC5616" w14:textId="77777777">
        <w:trPr>
          <w:jc w:val="center"/>
        </w:trPr>
        <w:tc>
          <w:tcPr>
            <w:tcW w:w="3120" w:type="dxa"/>
            <w:vAlign w:val="center"/>
          </w:tcPr>
          <w:p w14:paraId="27D235AB" w14:textId="77777777" w:rsidR="001C3851" w:rsidRDefault="00000000">
            <w:r>
              <w:rPr>
                <w:rFonts w:ascii="宋体" w:hAnsi="宋体"/>
                <w:sz w:val="18"/>
              </w:rPr>
              <w:t>线路运营约束</w:t>
            </w:r>
          </w:p>
        </w:tc>
        <w:tc>
          <w:tcPr>
            <w:tcW w:w="3120" w:type="dxa"/>
            <w:vAlign w:val="center"/>
          </w:tcPr>
          <w:p w14:paraId="46619C0D" w14:textId="77777777" w:rsidR="001C3851" w:rsidRDefault="00000000">
            <w:pPr>
              <w:rPr>
                <w:lang w:eastAsia="zh-CN"/>
              </w:rPr>
            </w:pPr>
            <w:r>
              <w:rPr>
                <w:rFonts w:ascii="宋体" w:hAnsi="宋体"/>
                <w:sz w:val="18"/>
                <w:lang w:eastAsia="zh-CN"/>
              </w:rPr>
              <w:t>限制线路转运压力和班次装载能力，保证地铁货运组织可行</w:t>
            </w:r>
          </w:p>
        </w:tc>
        <w:tc>
          <w:tcPr>
            <w:tcW w:w="3120" w:type="dxa"/>
            <w:vAlign w:val="center"/>
          </w:tcPr>
          <w:p w14:paraId="29AC8663" w14:textId="77777777" w:rsidR="001C3851" w:rsidRDefault="00000000">
            <w:pPr>
              <w:rPr>
                <w:lang w:eastAsia="zh-CN"/>
              </w:rPr>
            </w:pPr>
            <w:r>
              <w:rPr>
                <w:rFonts w:ascii="宋体" w:hAnsi="宋体"/>
                <w:sz w:val="18"/>
                <w:lang w:eastAsia="zh-CN"/>
              </w:rPr>
              <w:t>每条线路最多转运点数量、路径与线路班次关联、单趟列车容量、班次启用顺序</w:t>
            </w:r>
          </w:p>
        </w:tc>
      </w:tr>
      <w:tr w:rsidR="001C3851" w14:paraId="46D41EF2" w14:textId="77777777">
        <w:trPr>
          <w:jc w:val="center"/>
        </w:trPr>
        <w:tc>
          <w:tcPr>
            <w:tcW w:w="3120" w:type="dxa"/>
            <w:vAlign w:val="center"/>
          </w:tcPr>
          <w:p w14:paraId="206F66D5" w14:textId="77777777" w:rsidR="001C3851" w:rsidRDefault="00000000">
            <w:r>
              <w:rPr>
                <w:rFonts w:ascii="宋体" w:hAnsi="宋体"/>
                <w:sz w:val="18"/>
              </w:rPr>
              <w:t>变量取值约束</w:t>
            </w:r>
          </w:p>
        </w:tc>
        <w:tc>
          <w:tcPr>
            <w:tcW w:w="3120" w:type="dxa"/>
            <w:vAlign w:val="center"/>
          </w:tcPr>
          <w:p w14:paraId="6CC8AEE0" w14:textId="77777777" w:rsidR="001C3851" w:rsidRDefault="00000000">
            <w:pPr>
              <w:rPr>
                <w:lang w:eastAsia="zh-CN"/>
              </w:rPr>
            </w:pPr>
            <w:r>
              <w:rPr>
                <w:rFonts w:ascii="宋体" w:hAnsi="宋体"/>
                <w:sz w:val="18"/>
                <w:lang w:eastAsia="zh-CN"/>
              </w:rPr>
              <w:t>限定模型变量类型，保证模型具有混合整数规划特征</w:t>
            </w:r>
          </w:p>
        </w:tc>
        <w:tc>
          <w:tcPr>
            <w:tcW w:w="3120" w:type="dxa"/>
            <w:vAlign w:val="center"/>
          </w:tcPr>
          <w:p w14:paraId="69E9BBBD" w14:textId="77777777" w:rsidR="001C3851" w:rsidRDefault="00000000">
            <w:r>
              <w:rPr>
                <w:rFonts w:ascii="宋体" w:hAnsi="宋体"/>
                <w:sz w:val="18"/>
              </w:rPr>
              <w:t>二元变量取值约束</w:t>
            </w:r>
          </w:p>
        </w:tc>
      </w:tr>
    </w:tbl>
    <w:p w14:paraId="52B40939" w14:textId="77777777" w:rsidR="001C3851" w:rsidRDefault="00000000">
      <w:pPr>
        <w:jc w:val="center"/>
        <w:rPr>
          <w:lang w:eastAsia="zh-CN"/>
        </w:rPr>
      </w:pPr>
      <w:r>
        <w:rPr>
          <w:rFonts w:ascii="宋体" w:hAnsi="宋体"/>
          <w:b/>
          <w:sz w:val="20"/>
          <w:lang w:eastAsia="zh-CN"/>
        </w:rPr>
        <w:t>表 4-4 选址—分配模型约束分类</w:t>
      </w:r>
    </w:p>
    <w:p w14:paraId="5FD2AB58" w14:textId="77777777" w:rsidR="00721AE4" w:rsidRDefault="00000000">
      <w:pPr>
        <w:spacing w:line="360" w:lineRule="auto"/>
        <w:ind w:firstLine="480"/>
        <w:rPr>
          <w:lang w:eastAsia="zh-CN"/>
        </w:rPr>
      </w:pPr>
      <w:r>
        <w:rPr>
          <w:rFonts w:ascii="宋体" w:hAnsi="宋体"/>
          <w:b/>
          <w:lang w:eastAsia="zh-CN"/>
        </w:rPr>
        <w:t>（1）货流不可拆分约束</w:t>
      </w:r>
    </w:p>
    <w:p w14:paraId="30042E6E" w14:textId="77777777" w:rsidR="00721AE4" w:rsidRDefault="00000000">
      <w:pPr>
        <w:spacing w:line="360" w:lineRule="auto"/>
        <w:ind w:firstLine="480"/>
        <w:rPr>
          <w:lang w:eastAsia="zh-CN"/>
        </w:rPr>
      </w:pPr>
      <w:r>
        <w:rPr>
          <w:rFonts w:ascii="宋体" w:hAnsi="宋体"/>
          <w:lang w:eastAsia="zh-CN"/>
        </w:rPr>
        <w:t>每一组物流园区—需求点货流只能选择一个地铁转运点或采用公路直送：</w:t>
      </w:r>
    </w:p>
    <w:p w14:paraId="2B75F52C" w14:textId="77777777" w:rsidR="00721AE4" w:rsidRDefault="00000000">
      <w:pPr>
        <w:spacing w:line="360" w:lineRule="auto"/>
        <w:ind w:firstLine="480"/>
        <w:jc w:val="center"/>
      </w:pPr>
      <w:r>
        <w:rPr>
          <w:rFonts w:ascii="Cambria Math" w:eastAsia="Cambria Math" w:hAnsi="Cambria Math"/>
        </w:rPr>
        <w:t>o_{ij} + ∑_{k∈K} z_{ijk} = 1,  ∀i∈I, j∈J</w:t>
      </w:r>
    </w:p>
    <w:p w14:paraId="674B7033" w14:textId="77777777" w:rsidR="00721AE4" w:rsidRDefault="00000000">
      <w:pPr>
        <w:spacing w:line="360" w:lineRule="auto"/>
        <w:ind w:firstLine="480"/>
        <w:rPr>
          <w:lang w:eastAsia="zh-CN"/>
        </w:rPr>
      </w:pPr>
      <w:r>
        <w:rPr>
          <w:rFonts w:ascii="宋体" w:hAnsi="宋体"/>
          <w:b/>
          <w:lang w:eastAsia="zh-CN"/>
        </w:rPr>
        <w:t>（2）转运点启用约束</w:t>
      </w:r>
    </w:p>
    <w:p w14:paraId="541C3EDA" w14:textId="77777777" w:rsidR="00721AE4" w:rsidRDefault="00000000">
      <w:pPr>
        <w:spacing w:line="360" w:lineRule="auto"/>
        <w:ind w:firstLine="480"/>
        <w:rPr>
          <w:lang w:eastAsia="zh-CN"/>
        </w:rPr>
      </w:pPr>
      <w:r>
        <w:rPr>
          <w:rFonts w:ascii="宋体" w:hAnsi="宋体"/>
          <w:lang w:eastAsia="zh-CN"/>
        </w:rPr>
        <w:t>只有被启用的候选站点才能承接货流：</w:t>
      </w:r>
    </w:p>
    <w:p w14:paraId="5AA4015E" w14:textId="77777777" w:rsidR="00721AE4" w:rsidRDefault="00000000">
      <w:pPr>
        <w:spacing w:line="360" w:lineRule="auto"/>
        <w:ind w:firstLine="480"/>
        <w:jc w:val="center"/>
      </w:pPr>
      <w:r>
        <w:rPr>
          <w:rFonts w:ascii="Cambria Math" w:eastAsia="Cambria Math" w:hAnsi="Cambria Math"/>
        </w:rPr>
        <w:t>z_{ijk} ≤ x_k,  ∀i∈I, j∈J, k∈K</w:t>
      </w:r>
    </w:p>
    <w:p w14:paraId="60D55A9F" w14:textId="77777777" w:rsidR="00721AE4" w:rsidRDefault="00000000">
      <w:pPr>
        <w:spacing w:line="360" w:lineRule="auto"/>
        <w:ind w:firstLine="480"/>
        <w:rPr>
          <w:lang w:eastAsia="zh-CN"/>
        </w:rPr>
      </w:pPr>
      <w:r>
        <w:rPr>
          <w:rFonts w:ascii="宋体" w:hAnsi="宋体"/>
          <w:b/>
          <w:lang w:eastAsia="zh-CN"/>
        </w:rPr>
        <w:t>（3）4 km 末端接驳服务边界约束</w:t>
      </w:r>
    </w:p>
    <w:p w14:paraId="7402800B" w14:textId="77777777" w:rsidR="00721AE4" w:rsidRDefault="00000000">
      <w:pPr>
        <w:spacing w:line="360" w:lineRule="auto"/>
        <w:ind w:firstLine="480"/>
        <w:rPr>
          <w:lang w:eastAsia="zh-CN"/>
        </w:rPr>
      </w:pPr>
      <w:r>
        <w:rPr>
          <w:rFonts w:ascii="宋体" w:hAnsi="宋体"/>
          <w:lang w:eastAsia="zh-CN"/>
        </w:rPr>
        <w:t>若需求点 j 分配给转运点 k，则其末端接驳距离不得超过 4 km：</w:t>
      </w:r>
    </w:p>
    <w:p w14:paraId="1EF7109F" w14:textId="77777777" w:rsidR="00721AE4" w:rsidRDefault="00000000">
      <w:pPr>
        <w:spacing w:line="360" w:lineRule="auto"/>
        <w:ind w:firstLine="480"/>
        <w:jc w:val="center"/>
      </w:pPr>
      <w:r>
        <w:rPr>
          <w:rFonts w:ascii="Cambria Math" w:eastAsia="Cambria Math" w:hAnsi="Cambria Math"/>
        </w:rPr>
        <w:t>d^E_{kj}z_{ijk} ≤ D^max,  ∀i,j,k</w:t>
      </w:r>
    </w:p>
    <w:p w14:paraId="07456986" w14:textId="77777777" w:rsidR="00721AE4" w:rsidRDefault="00000000">
      <w:pPr>
        <w:spacing w:line="360" w:lineRule="auto"/>
        <w:ind w:firstLine="480"/>
        <w:rPr>
          <w:lang w:eastAsia="zh-CN"/>
        </w:rPr>
      </w:pPr>
      <w:r>
        <w:rPr>
          <w:rFonts w:ascii="宋体" w:hAnsi="宋体"/>
          <w:b/>
        </w:rPr>
        <w:t>（4）最大换乘次数约束</w:t>
      </w:r>
    </w:p>
    <w:p w14:paraId="0CEDF148" w14:textId="77777777" w:rsidR="00721AE4" w:rsidRDefault="00000000">
      <w:pPr>
        <w:spacing w:line="360" w:lineRule="auto"/>
        <w:ind w:firstLine="480"/>
        <w:rPr>
          <w:lang w:eastAsia="zh-CN"/>
        </w:rPr>
      </w:pPr>
      <w:r>
        <w:rPr>
          <w:rFonts w:ascii="宋体" w:hAnsi="宋体"/>
          <w:lang w:eastAsia="zh-CN"/>
        </w:rPr>
        <w:t>物流园区接入站至候选转运点的地铁路径换乘次数不得超过上限：</w:t>
      </w:r>
    </w:p>
    <w:p w14:paraId="1F4E0218" w14:textId="77777777" w:rsidR="00721AE4" w:rsidRDefault="00000000">
      <w:pPr>
        <w:spacing w:line="360" w:lineRule="auto"/>
        <w:ind w:firstLine="480"/>
        <w:jc w:val="center"/>
      </w:pPr>
      <w:r>
        <w:rPr>
          <w:rFonts w:ascii="Cambria Math" w:eastAsia="Cambria Math" w:hAnsi="Cambria Math"/>
        </w:rPr>
        <w:t>τ_{ik}z_{ijk} ≤ T^max,  ∀i,j,k</w:t>
      </w:r>
    </w:p>
    <w:p w14:paraId="0EB30945" w14:textId="77777777" w:rsidR="00721AE4" w:rsidRDefault="00000000">
      <w:pPr>
        <w:spacing w:line="360" w:lineRule="auto"/>
        <w:ind w:firstLine="480"/>
        <w:rPr>
          <w:lang w:eastAsia="zh-CN"/>
        </w:rPr>
      </w:pPr>
      <w:r>
        <w:rPr>
          <w:rFonts w:ascii="宋体" w:hAnsi="宋体"/>
          <w:b/>
          <w:lang w:eastAsia="zh-CN"/>
        </w:rPr>
        <w:t>（5）转运点处理能力与负载率约束</w:t>
      </w:r>
    </w:p>
    <w:p w14:paraId="0577588A" w14:textId="77777777" w:rsidR="00721AE4" w:rsidRDefault="00000000">
      <w:pPr>
        <w:spacing w:line="360" w:lineRule="auto"/>
        <w:ind w:firstLine="480"/>
        <w:rPr>
          <w:lang w:eastAsia="zh-CN"/>
        </w:rPr>
      </w:pPr>
      <w:r>
        <w:rPr>
          <w:rFonts w:ascii="宋体" w:hAnsi="宋体"/>
          <w:lang w:eastAsia="zh-CN"/>
        </w:rPr>
        <w:t>启用转运点承接的总货流量应位于其处理能力的最低与最高负载率之间：</w:t>
      </w:r>
    </w:p>
    <w:p w14:paraId="4E8C49A6" w14:textId="77777777" w:rsidR="00721AE4" w:rsidRDefault="00000000">
      <w:pPr>
        <w:spacing w:line="360" w:lineRule="auto"/>
        <w:ind w:firstLine="480"/>
        <w:jc w:val="center"/>
      </w:pPr>
      <w:r>
        <w:rPr>
          <w:rFonts w:ascii="Cambria Math" w:eastAsia="Cambria Math" w:hAnsi="Cambria Math"/>
        </w:rPr>
        <w:lastRenderedPageBreak/>
        <w:t>ρ_min U_k x_k ≤ ∑_{i∈I}∑_{j∈J} q_{ij}z_{ijk} ≤ ρ_max U_k x_k,  ∀k∈K</w:t>
      </w:r>
    </w:p>
    <w:p w14:paraId="76F242E3" w14:textId="77777777" w:rsidR="00721AE4" w:rsidRDefault="00000000">
      <w:pPr>
        <w:spacing w:line="360" w:lineRule="auto"/>
        <w:ind w:firstLine="480"/>
        <w:rPr>
          <w:lang w:eastAsia="zh-CN"/>
        </w:rPr>
      </w:pPr>
      <w:r>
        <w:rPr>
          <w:rFonts w:ascii="宋体" w:hAnsi="宋体"/>
          <w:lang w:eastAsia="zh-CN"/>
        </w:rPr>
        <w:t>当 x_k=0 时，该约束要求转运点 k 不承接任何货流；当 x_k=1 时，该约束同时避免低负载无效开站和超能力运行。</w:t>
      </w:r>
    </w:p>
    <w:p w14:paraId="46FCF9A6" w14:textId="77777777" w:rsidR="00721AE4" w:rsidRDefault="00000000">
      <w:pPr>
        <w:spacing w:line="360" w:lineRule="auto"/>
        <w:ind w:firstLine="480"/>
        <w:rPr>
          <w:lang w:eastAsia="zh-CN"/>
        </w:rPr>
      </w:pPr>
      <w:r>
        <w:rPr>
          <w:rFonts w:ascii="宋体" w:hAnsi="宋体"/>
          <w:b/>
          <w:lang w:eastAsia="zh-CN"/>
        </w:rPr>
        <w:t>（6）每条线路最多转运点数量约束</w:t>
      </w:r>
    </w:p>
    <w:p w14:paraId="72022074" w14:textId="77777777" w:rsidR="00721AE4" w:rsidRDefault="00000000">
      <w:pPr>
        <w:spacing w:line="360" w:lineRule="auto"/>
        <w:ind w:firstLine="480"/>
        <w:rPr>
          <w:lang w:eastAsia="zh-CN"/>
        </w:rPr>
      </w:pPr>
      <w:r>
        <w:rPr>
          <w:rFonts w:ascii="宋体" w:hAnsi="宋体"/>
          <w:lang w:eastAsia="zh-CN"/>
        </w:rPr>
        <w:t>为避免单条线路上货运转运点过度集中，每条地铁线路最多设置 3 个转运点：</w:t>
      </w:r>
    </w:p>
    <w:p w14:paraId="56A40976" w14:textId="77777777" w:rsidR="00721AE4" w:rsidRDefault="00000000">
      <w:pPr>
        <w:spacing w:line="360" w:lineRule="auto"/>
        <w:ind w:firstLine="480"/>
        <w:jc w:val="center"/>
      </w:pPr>
      <w:r>
        <w:rPr>
          <w:rFonts w:ascii="Cambria Math" w:eastAsia="Cambria Math" w:hAnsi="Cambria Math"/>
        </w:rPr>
        <w:t>∑_{k∈K} σ_{kℓ}x_k ≤ X^max_ℓ,  ∀ℓ∈L</w:t>
      </w:r>
    </w:p>
    <w:p w14:paraId="6E0BCF81" w14:textId="77777777" w:rsidR="00721AE4" w:rsidRDefault="00000000">
      <w:pPr>
        <w:spacing w:line="360" w:lineRule="auto"/>
        <w:ind w:firstLine="480"/>
      </w:pPr>
      <w:r>
        <w:rPr>
          <w:rFonts w:ascii="宋体" w:hAnsi="宋体"/>
        </w:rPr>
        <w:t>其中，本文取 overline X_ell=3。</w:t>
      </w:r>
    </w:p>
    <w:p w14:paraId="56246752" w14:textId="77777777" w:rsidR="00721AE4" w:rsidRDefault="00000000">
      <w:pPr>
        <w:spacing w:line="360" w:lineRule="auto"/>
        <w:ind w:firstLine="480"/>
        <w:rPr>
          <w:lang w:eastAsia="zh-CN"/>
        </w:rPr>
      </w:pPr>
      <w:r>
        <w:rPr>
          <w:rFonts w:ascii="宋体" w:hAnsi="宋体"/>
          <w:b/>
          <w:lang w:eastAsia="zh-CN"/>
        </w:rPr>
        <w:t>（7）转运点最小间距约束</w:t>
      </w:r>
    </w:p>
    <w:p w14:paraId="4D9C9E83" w14:textId="77777777" w:rsidR="00721AE4" w:rsidRDefault="00000000">
      <w:pPr>
        <w:spacing w:line="360" w:lineRule="auto"/>
        <w:ind w:firstLine="480"/>
        <w:rPr>
          <w:lang w:eastAsia="zh-CN"/>
        </w:rPr>
      </w:pPr>
      <w:r>
        <w:rPr>
          <w:rFonts w:ascii="宋体" w:hAnsi="宋体"/>
          <w:lang w:eastAsia="zh-CN"/>
        </w:rPr>
        <w:t>若两个候选转运点之间距离小于最小间距阈值，则二者不能同时启用：</w:t>
      </w:r>
    </w:p>
    <w:p w14:paraId="0C79ECBF" w14:textId="77777777" w:rsidR="00721AE4" w:rsidRDefault="00000000">
      <w:pPr>
        <w:spacing w:line="360" w:lineRule="auto"/>
        <w:ind w:firstLine="480"/>
        <w:jc w:val="center"/>
      </w:pPr>
      <w:r>
        <w:rPr>
          <w:rFonts w:ascii="Cambria Math" w:eastAsia="Cambria Math" w:hAnsi="Cambria Math"/>
        </w:rPr>
        <w:t>x_k + x_h ≤ 1,  ∀k,h∈K, k&lt;h, Δ_{kh}&lt;Δ^min</w:t>
      </w:r>
    </w:p>
    <w:p w14:paraId="3C7C171B" w14:textId="77777777" w:rsidR="00721AE4" w:rsidRDefault="00000000">
      <w:pPr>
        <w:spacing w:line="360" w:lineRule="auto"/>
        <w:ind w:firstLine="480"/>
      </w:pPr>
      <w:r>
        <w:rPr>
          <w:rFonts w:ascii="宋体" w:hAnsi="宋体"/>
        </w:rPr>
        <w:t>其中，本文取 overlineDelta=2 km。</w:t>
      </w:r>
    </w:p>
    <w:p w14:paraId="7F8F37BA" w14:textId="77777777" w:rsidR="00721AE4" w:rsidRDefault="00000000">
      <w:pPr>
        <w:spacing w:line="360" w:lineRule="auto"/>
        <w:ind w:firstLine="480"/>
        <w:rPr>
          <w:lang w:eastAsia="zh-CN"/>
        </w:rPr>
      </w:pPr>
      <w:r>
        <w:rPr>
          <w:rFonts w:ascii="宋体" w:hAnsi="宋体"/>
          <w:b/>
          <w:lang w:eastAsia="zh-CN"/>
        </w:rPr>
        <w:t>（8）路径与线路班次关联约束</w:t>
      </w:r>
    </w:p>
    <w:p w14:paraId="3459E15E" w14:textId="77777777" w:rsidR="00721AE4" w:rsidRDefault="00000000">
      <w:pPr>
        <w:spacing w:line="360" w:lineRule="auto"/>
        <w:ind w:firstLine="480"/>
        <w:rPr>
          <w:lang w:eastAsia="zh-CN"/>
        </w:rPr>
      </w:pPr>
      <w:r>
        <w:rPr>
          <w:rFonts w:ascii="宋体" w:hAnsi="宋体"/>
          <w:lang w:eastAsia="zh-CN"/>
        </w:rPr>
        <w:t>若货流 q_{ij} 经转运点 k 运输，且路径占用线路 ell，则该货流需被分配至线路 ell 的某一趟平峰期列车：</w:t>
      </w:r>
    </w:p>
    <w:p w14:paraId="7727A44B" w14:textId="77777777" w:rsidR="00721AE4" w:rsidRDefault="00000000">
      <w:pPr>
        <w:spacing w:line="360" w:lineRule="auto"/>
        <w:ind w:firstLine="480"/>
        <w:jc w:val="center"/>
      </w:pPr>
      <w:r>
        <w:rPr>
          <w:rFonts w:ascii="Cambria Math" w:eastAsia="Cambria Math" w:hAnsi="Cambria Math"/>
        </w:rPr>
        <w:t>∑_{r∈R_ℓ} y_{ijkℓr} = a_{ikℓ}z_{ijk},  ∀i∈I, j∈J, k∈K, ℓ∈L</w:t>
      </w:r>
    </w:p>
    <w:p w14:paraId="46D6C695" w14:textId="77777777" w:rsidR="00721AE4" w:rsidRDefault="00000000">
      <w:pPr>
        <w:spacing w:line="360" w:lineRule="auto"/>
        <w:ind w:firstLine="480"/>
        <w:rPr>
          <w:lang w:eastAsia="zh-CN"/>
        </w:rPr>
      </w:pPr>
      <w:r>
        <w:rPr>
          <w:rFonts w:ascii="宋体" w:hAnsi="宋体"/>
          <w:b/>
        </w:rPr>
        <w:t>（9）单趟列车容量约束</w:t>
      </w:r>
    </w:p>
    <w:p w14:paraId="388D2D5A" w14:textId="77777777" w:rsidR="00721AE4" w:rsidRDefault="00000000">
      <w:pPr>
        <w:spacing w:line="360" w:lineRule="auto"/>
        <w:ind w:firstLine="480"/>
        <w:rPr>
          <w:lang w:eastAsia="zh-CN"/>
        </w:rPr>
      </w:pPr>
      <w:r>
        <w:rPr>
          <w:rFonts w:ascii="宋体" w:hAnsi="宋体"/>
          <w:lang w:eastAsia="zh-CN"/>
        </w:rPr>
        <w:t>同一线路同一趟列车所承接的货运量不得超过该线路单趟列车容量：</w:t>
      </w:r>
    </w:p>
    <w:p w14:paraId="1B11ACC4" w14:textId="77777777" w:rsidR="00721AE4" w:rsidRDefault="00000000">
      <w:pPr>
        <w:spacing w:line="360" w:lineRule="auto"/>
        <w:ind w:firstLine="480"/>
        <w:jc w:val="center"/>
      </w:pPr>
      <w:r>
        <w:rPr>
          <w:rFonts w:ascii="Cambria Math" w:eastAsia="Cambria Math" w:hAnsi="Cambria Math"/>
        </w:rPr>
        <w:t>∑_{i∈I}∑_{j∈J}∑_{k∈K} q_{ij}y_{ijkℓr} ≤ G_ℓ w_{ℓr},  ∀ℓ∈L, r∈R_ℓ</w:t>
      </w:r>
    </w:p>
    <w:p w14:paraId="101D913B" w14:textId="77777777" w:rsidR="00721AE4" w:rsidRDefault="00000000">
      <w:pPr>
        <w:spacing w:line="360" w:lineRule="auto"/>
        <w:ind w:firstLine="480"/>
        <w:rPr>
          <w:lang w:eastAsia="zh-CN"/>
        </w:rPr>
      </w:pPr>
      <w:r>
        <w:rPr>
          <w:rFonts w:ascii="宋体" w:hAnsi="宋体"/>
          <w:lang w:eastAsia="zh-CN"/>
        </w:rPr>
        <w:t>在代码实现中，该约束通过 First-Fit Decreasing 不可拆分装箱校验实现。具体做法为：将每条线路上所有需要装载的不可拆分货流单元按货流量从大到小排序，依次尝试</w:t>
      </w:r>
      <w:r>
        <w:rPr>
          <w:rFonts w:ascii="宋体" w:hAnsi="宋体"/>
          <w:lang w:eastAsia="zh-CN"/>
        </w:rPr>
        <w:lastRenderedPageBreak/>
        <w:t>装入该线路 5 趟平峰期列车中；若某一货流单元无法装入任何剩余容量充足的列车，则计入容量违背量。</w:t>
      </w:r>
    </w:p>
    <w:p w14:paraId="5959367C" w14:textId="77777777" w:rsidR="00721AE4" w:rsidRDefault="00000000">
      <w:pPr>
        <w:spacing w:line="360" w:lineRule="auto"/>
        <w:ind w:firstLine="480"/>
        <w:rPr>
          <w:lang w:eastAsia="zh-CN"/>
        </w:rPr>
      </w:pPr>
      <w:r>
        <w:rPr>
          <w:rFonts w:ascii="宋体" w:hAnsi="宋体"/>
          <w:b/>
          <w:lang w:eastAsia="zh-CN"/>
        </w:rPr>
        <w:t>（10）班次启用顺序约束</w:t>
      </w:r>
    </w:p>
    <w:p w14:paraId="4E8C19C6" w14:textId="77777777" w:rsidR="00721AE4" w:rsidRDefault="00000000">
      <w:pPr>
        <w:spacing w:line="360" w:lineRule="auto"/>
        <w:ind w:firstLine="480"/>
        <w:rPr>
          <w:lang w:eastAsia="zh-CN"/>
        </w:rPr>
      </w:pPr>
      <w:r>
        <w:rPr>
          <w:rFonts w:ascii="宋体" w:hAnsi="宋体"/>
          <w:lang w:eastAsia="zh-CN"/>
        </w:rPr>
        <w:t>若某线路后续班次被用于货运，则其前序班次应已启用：</w:t>
      </w:r>
    </w:p>
    <w:p w14:paraId="6FC59BE4" w14:textId="77777777" w:rsidR="00721AE4" w:rsidRDefault="00000000">
      <w:pPr>
        <w:spacing w:line="360" w:lineRule="auto"/>
        <w:ind w:firstLine="480"/>
        <w:jc w:val="center"/>
      </w:pPr>
      <w:r>
        <w:rPr>
          <w:rFonts w:ascii="Cambria Math" w:eastAsia="Cambria Math" w:hAnsi="Cambria Math"/>
        </w:rPr>
        <w:t>w_{ℓ,r+1} ≤ w_{ℓr},  ∀ℓ∈L, r=1,2,…,|R_ℓ|-1</w:t>
      </w:r>
    </w:p>
    <w:p w14:paraId="0AFA674D" w14:textId="77777777" w:rsidR="00721AE4" w:rsidRDefault="00000000">
      <w:pPr>
        <w:pStyle w:val="31"/>
        <w:rPr>
          <w:lang w:eastAsia="zh-CN"/>
        </w:rPr>
      </w:pPr>
      <w:r>
        <w:rPr>
          <w:rFonts w:ascii="黑体" w:eastAsia="黑体" w:hAnsi="黑体"/>
        </w:rPr>
        <w:t>4.3.3 选址——分配模型构建</w:t>
      </w:r>
    </w:p>
    <w:p w14:paraId="4359B6FC" w14:textId="77777777" w:rsidR="00721AE4" w:rsidRDefault="00000000">
      <w:pPr>
        <w:spacing w:line="360" w:lineRule="auto"/>
        <w:ind w:firstLine="480"/>
        <w:rPr>
          <w:lang w:eastAsia="zh-CN"/>
        </w:rPr>
      </w:pPr>
      <w:r>
        <w:rPr>
          <w:rFonts w:ascii="宋体" w:hAnsi="宋体"/>
          <w:lang w:eastAsia="zh-CN"/>
        </w:rPr>
        <w:t>综合上述目标函数和约束条件，本文构建的地铁物流配送转运点选址—分配模型如下：</w:t>
      </w:r>
    </w:p>
    <w:p w14:paraId="63CDBC5C" w14:textId="77777777" w:rsidR="00721AE4" w:rsidRDefault="00000000">
      <w:pPr>
        <w:spacing w:line="360" w:lineRule="auto"/>
        <w:ind w:firstLine="480"/>
        <w:jc w:val="center"/>
      </w:pPr>
      <w:r>
        <w:rPr>
          <w:rFonts w:ascii="Cambria Math" w:eastAsia="Cambria Math" w:hAnsi="Cambria Math"/>
        </w:rPr>
        <w:t>min (Z₁, -Z₂)</w:t>
      </w:r>
    </w:p>
    <w:p w14:paraId="66BFF4F4" w14:textId="77777777" w:rsidR="00721AE4" w:rsidRDefault="00000000">
      <w:pPr>
        <w:spacing w:line="360" w:lineRule="auto"/>
        <w:ind w:firstLine="480"/>
        <w:jc w:val="center"/>
      </w:pPr>
      <w:r>
        <w:rPr>
          <w:rFonts w:ascii="宋体" w:hAnsi="宋体"/>
        </w:rPr>
        <w:t>Z_1=C^F+C^R+C^A+C^M+C^{TR}+C^{IO}+C^E+C^C+C^{OC}</w:t>
      </w:r>
    </w:p>
    <w:p w14:paraId="6D25252E" w14:textId="77777777" w:rsidR="00721AE4" w:rsidRDefault="00000000">
      <w:pPr>
        <w:spacing w:line="360" w:lineRule="auto"/>
        <w:ind w:firstLine="480"/>
        <w:jc w:val="center"/>
      </w:pPr>
      <w:r>
        <w:rPr>
          <w:rFonts w:ascii="Cambria Math" w:eastAsia="Cambria Math" w:hAnsi="Cambria Math"/>
        </w:rPr>
        <w:t>Z₂ = (∑_{i∈I}∑_{j∈J}∑_{k∈K} q_{ij}z_{ijk}) / (∑_{i∈I}∑_{j∈J} q_{ij})</w:t>
      </w:r>
    </w:p>
    <w:p w14:paraId="45104F2B" w14:textId="77777777" w:rsidR="00721AE4" w:rsidRDefault="00000000">
      <w:pPr>
        <w:spacing w:line="360" w:lineRule="auto"/>
        <w:ind w:firstLine="480"/>
      </w:pPr>
      <w:r>
        <w:rPr>
          <w:rFonts w:ascii="宋体" w:hAnsi="宋体"/>
        </w:rPr>
        <w:t>s.t.</w:t>
      </w:r>
    </w:p>
    <w:p w14:paraId="1DBA0F65" w14:textId="77777777" w:rsidR="00721AE4" w:rsidRDefault="00000000">
      <w:pPr>
        <w:spacing w:line="360" w:lineRule="auto"/>
        <w:ind w:firstLine="480"/>
        <w:jc w:val="center"/>
      </w:pPr>
      <w:r>
        <w:rPr>
          <w:rFonts w:ascii="Cambria Math" w:eastAsia="Cambria Math" w:hAnsi="Cambria Math"/>
        </w:rPr>
        <w:t>o_{ij} + ∑_{k∈K}z_{ijk} = 1,  ∀i,j</w:t>
      </w:r>
    </w:p>
    <w:p w14:paraId="05ED6951" w14:textId="77777777" w:rsidR="00721AE4" w:rsidRDefault="00000000">
      <w:pPr>
        <w:spacing w:line="360" w:lineRule="auto"/>
        <w:ind w:firstLine="480"/>
        <w:jc w:val="center"/>
      </w:pPr>
      <w:r>
        <w:rPr>
          <w:rFonts w:ascii="Cambria Math" w:eastAsia="Cambria Math" w:hAnsi="Cambria Math"/>
        </w:rPr>
        <w:t>z_{ijk} ≤ x_k,  ∀i,j,k</w:t>
      </w:r>
    </w:p>
    <w:p w14:paraId="7FEDF0CF" w14:textId="77777777" w:rsidR="00721AE4" w:rsidRDefault="00000000">
      <w:pPr>
        <w:spacing w:line="360" w:lineRule="auto"/>
        <w:ind w:firstLine="480"/>
        <w:jc w:val="center"/>
      </w:pPr>
      <w:r>
        <w:rPr>
          <w:rFonts w:ascii="Cambria Math" w:eastAsia="Cambria Math" w:hAnsi="Cambria Math"/>
        </w:rPr>
        <w:t>d^E_{kj}z_{ijk} ≤ D^max,  ∀i,j,k</w:t>
      </w:r>
    </w:p>
    <w:p w14:paraId="663C31BA" w14:textId="77777777" w:rsidR="00721AE4" w:rsidRDefault="00000000">
      <w:pPr>
        <w:spacing w:line="360" w:lineRule="auto"/>
        <w:ind w:firstLine="480"/>
        <w:jc w:val="center"/>
      </w:pPr>
      <w:r>
        <w:rPr>
          <w:rFonts w:ascii="Cambria Math" w:eastAsia="Cambria Math" w:hAnsi="Cambria Math"/>
        </w:rPr>
        <w:t>τ_{ik}z_{ijk} ≤ T^max,  ∀i,j,k</w:t>
      </w:r>
    </w:p>
    <w:p w14:paraId="2E4CA894" w14:textId="77777777" w:rsidR="00721AE4" w:rsidRDefault="00000000">
      <w:pPr>
        <w:spacing w:line="360" w:lineRule="auto"/>
        <w:ind w:firstLine="480"/>
        <w:jc w:val="center"/>
      </w:pPr>
      <w:r>
        <w:rPr>
          <w:rFonts w:ascii="Cambria Math" w:eastAsia="Cambria Math" w:hAnsi="Cambria Math"/>
        </w:rPr>
        <w:t>ρ_min U_k x_k ≤ ∑_{i∈I}∑_{j∈J} q_{ij}z_{ijk} ≤ ρ_max U_k x_k,  ∀k∈K</w:t>
      </w:r>
    </w:p>
    <w:p w14:paraId="4DEC00D8" w14:textId="77777777" w:rsidR="00721AE4" w:rsidRDefault="00000000">
      <w:pPr>
        <w:spacing w:line="360" w:lineRule="auto"/>
        <w:ind w:firstLine="480"/>
        <w:jc w:val="center"/>
      </w:pPr>
      <w:r>
        <w:rPr>
          <w:rFonts w:ascii="Cambria Math" w:eastAsia="Cambria Math" w:hAnsi="Cambria Math"/>
        </w:rPr>
        <w:t>∑_{k∈K} σ_{kℓ}x_k ≤ X^max_ℓ,  ∀ℓ∈L</w:t>
      </w:r>
    </w:p>
    <w:p w14:paraId="71E93874" w14:textId="77777777" w:rsidR="00721AE4" w:rsidRDefault="00000000">
      <w:pPr>
        <w:spacing w:line="360" w:lineRule="auto"/>
        <w:ind w:firstLine="480"/>
        <w:jc w:val="center"/>
      </w:pPr>
      <w:r>
        <w:rPr>
          <w:rFonts w:ascii="Cambria Math" w:eastAsia="Cambria Math" w:hAnsi="Cambria Math"/>
        </w:rPr>
        <w:t>x_k + x_h ≤ 1,  ∀k,h∈K, k&lt;h, Δ_{kh}&lt;Δ^min</w:t>
      </w:r>
    </w:p>
    <w:p w14:paraId="1B27C01D" w14:textId="77777777" w:rsidR="00721AE4" w:rsidRDefault="00000000">
      <w:pPr>
        <w:spacing w:line="360" w:lineRule="auto"/>
        <w:ind w:firstLine="480"/>
        <w:jc w:val="center"/>
      </w:pPr>
      <w:r>
        <w:rPr>
          <w:rFonts w:ascii="Cambria Math" w:eastAsia="Cambria Math" w:hAnsi="Cambria Math"/>
        </w:rPr>
        <w:t>∑_{r∈R_ℓ} y_{ijkℓr} = a_{ikℓ}z_{ijk},  ∀i∈I, j∈J, k∈K, ℓ∈L</w:t>
      </w:r>
    </w:p>
    <w:p w14:paraId="5F01E9AE" w14:textId="77777777" w:rsidR="00721AE4" w:rsidRDefault="00000000">
      <w:pPr>
        <w:spacing w:line="360" w:lineRule="auto"/>
        <w:ind w:firstLine="480"/>
        <w:jc w:val="center"/>
      </w:pPr>
      <w:r>
        <w:rPr>
          <w:rFonts w:ascii="Cambria Math" w:eastAsia="Cambria Math" w:hAnsi="Cambria Math"/>
        </w:rPr>
        <w:t>∑_{i,j,k}q_{ij}y_{ijkℓr} ≤ G_ℓw_{ℓr},  ∀ℓ,r</w:t>
      </w:r>
    </w:p>
    <w:p w14:paraId="676EAD8C" w14:textId="77777777" w:rsidR="00721AE4" w:rsidRDefault="00000000">
      <w:pPr>
        <w:spacing w:line="360" w:lineRule="auto"/>
        <w:ind w:firstLine="480"/>
        <w:jc w:val="center"/>
      </w:pPr>
      <w:r>
        <w:rPr>
          <w:rFonts w:ascii="Cambria Math" w:eastAsia="Cambria Math" w:hAnsi="Cambria Math"/>
        </w:rPr>
        <w:t>w_{ℓ,r+1} ≤ w_{ℓr},  ∀ℓ∈L, r=1,2,…,|R_ℓ|-1</w:t>
      </w:r>
    </w:p>
    <w:p w14:paraId="1C04BEEF" w14:textId="77777777" w:rsidR="00721AE4" w:rsidRDefault="00000000">
      <w:pPr>
        <w:spacing w:line="360" w:lineRule="auto"/>
        <w:ind w:firstLine="480"/>
        <w:jc w:val="center"/>
      </w:pPr>
      <w:r>
        <w:rPr>
          <w:rFonts w:ascii="Cambria Math" w:eastAsia="Cambria Math" w:hAnsi="Cambria Math"/>
        </w:rPr>
        <w:lastRenderedPageBreak/>
        <w:t>x_k, z_{ijk}, o_{ij}, y_{ijkℓr}, w_{ℓr} ∈ {0,1}</w:t>
      </w:r>
    </w:p>
    <w:p w14:paraId="7D1D9FF3" w14:textId="77777777" w:rsidR="00721AE4" w:rsidRDefault="00000000">
      <w:pPr>
        <w:pStyle w:val="21"/>
        <w:rPr>
          <w:lang w:eastAsia="zh-CN"/>
        </w:rPr>
      </w:pPr>
      <w:r>
        <w:rPr>
          <w:rFonts w:ascii="黑体" w:eastAsia="黑体" w:hAnsi="黑体"/>
        </w:rPr>
        <w:t>4.4 QVNS-NSGA-II 算法设计</w:t>
      </w:r>
    </w:p>
    <w:p w14:paraId="748E3844" w14:textId="77777777" w:rsidR="00721AE4" w:rsidRDefault="00000000">
      <w:pPr>
        <w:spacing w:line="360" w:lineRule="auto"/>
        <w:ind w:firstLine="480"/>
        <w:rPr>
          <w:lang w:eastAsia="zh-CN"/>
        </w:rPr>
      </w:pPr>
      <w:r>
        <w:rPr>
          <w:rFonts w:ascii="宋体" w:hAnsi="宋体"/>
          <w:lang w:eastAsia="zh-CN"/>
        </w:rPr>
        <w:t>地铁物流配送转运点布局优化问题同时包含设施启用、货流分配、服务半径、换乘次数、转运点容量、线路班次能力和多目标权衡等复杂因素，属于典型的组合优化问题。单纯依赖传统精确算法难以在可接受时间内获得覆盖不同成本—服务权衡关系的解集，而标准 NSGA-II 在复杂约束下又可能出现局部开发不足、搜索停滞和边界解保持能力不足等问题。为此，本文在 NSGA-II 多目标进化框架基础上，引入变量邻域搜索、Q-learning 搜索动作调节、外部档案和 safeguard 回滚机制，构建 QVNS-NSGA-II 混合多目标优化算法。</w:t>
      </w:r>
    </w:p>
    <w:p w14:paraId="0F1186D0" w14:textId="77777777" w:rsidR="00721AE4" w:rsidRDefault="00000000">
      <w:pPr>
        <w:spacing w:line="360" w:lineRule="auto"/>
        <w:ind w:firstLine="480"/>
        <w:rPr>
          <w:lang w:eastAsia="zh-CN"/>
        </w:rPr>
      </w:pPr>
      <w:r>
        <w:rPr>
          <w:rFonts w:ascii="宋体" w:hAnsi="宋体"/>
          <w:lang w:eastAsia="zh-CN"/>
        </w:rPr>
        <w:t>需要说明的是，本文中的 Q-learning 并非直接选择 VNS 邻域，而是作为保守型搜索动作调节机制，用于在不同搜索状态下调整扰动倾向；VNS 则主要作用于外部档案或 Pareto 精英解，用于强化局部开发能力。该设计能够在保持 NSGA-II 全局搜索能力的同时，提高精英解局部改进、边界解保留和搜索稳定性。</w:t>
      </w:r>
    </w:p>
    <w:p w14:paraId="2E6D81A7" w14:textId="77777777" w:rsidR="001C3851" w:rsidRDefault="00000000">
      <w:pPr>
        <w:jc w:val="center"/>
      </w:pPr>
      <w:r>
        <w:rPr>
          <w:rFonts w:ascii="宋体" w:hAnsi="宋体"/>
          <w:b/>
          <w:sz w:val="20"/>
        </w:rPr>
        <w:t>表 4-5 QVNS-NSGA-II 算法模块功能分工</w:t>
      </w:r>
    </w:p>
    <w:p w14:paraId="3A139DF6" w14:textId="77777777" w:rsidR="001C3851" w:rsidRDefault="00000000">
      <w:pPr>
        <w:spacing w:line="360" w:lineRule="auto"/>
        <w:ind w:firstLine="480"/>
      </w:pPr>
      <w:r>
        <w:rPr>
          <w:rFonts w:ascii="宋体" w:hAnsi="宋体"/>
        </w:rPr>
        <w:t>QVNS-NSGA-II 算法各模块的功能分工如表 4-5 所示。</w:t>
      </w:r>
    </w:p>
    <w:tbl>
      <w:tblPr>
        <w:tblStyle w:val="aff1"/>
        <w:tblW w:w="0" w:type="auto"/>
        <w:jc w:val="center"/>
        <w:tblLook w:val="04A0" w:firstRow="1" w:lastRow="0" w:firstColumn="1" w:lastColumn="0" w:noHBand="0" w:noVBand="1"/>
      </w:tblPr>
      <w:tblGrid>
        <w:gridCol w:w="3120"/>
        <w:gridCol w:w="3120"/>
        <w:gridCol w:w="3120"/>
      </w:tblGrid>
      <w:tr w:rsidR="001C3851" w14:paraId="366F257C" w14:textId="77777777">
        <w:trPr>
          <w:jc w:val="center"/>
        </w:trPr>
        <w:tc>
          <w:tcPr>
            <w:tcW w:w="3120" w:type="dxa"/>
            <w:vAlign w:val="center"/>
          </w:tcPr>
          <w:p w14:paraId="1D9FCC59" w14:textId="77777777" w:rsidR="001C3851" w:rsidRDefault="00000000">
            <w:r>
              <w:rPr>
                <w:rFonts w:ascii="宋体" w:hAnsi="宋体"/>
                <w:b/>
                <w:sz w:val="18"/>
              </w:rPr>
              <w:t>算法模块</w:t>
            </w:r>
          </w:p>
        </w:tc>
        <w:tc>
          <w:tcPr>
            <w:tcW w:w="3120" w:type="dxa"/>
            <w:vAlign w:val="center"/>
          </w:tcPr>
          <w:p w14:paraId="166F2DFA" w14:textId="77777777" w:rsidR="001C3851" w:rsidRDefault="00000000">
            <w:r>
              <w:rPr>
                <w:rFonts w:ascii="宋体" w:hAnsi="宋体"/>
                <w:b/>
                <w:sz w:val="18"/>
              </w:rPr>
              <w:t>主要功能</w:t>
            </w:r>
          </w:p>
        </w:tc>
        <w:tc>
          <w:tcPr>
            <w:tcW w:w="3120" w:type="dxa"/>
            <w:vAlign w:val="center"/>
          </w:tcPr>
          <w:p w14:paraId="424399C6" w14:textId="77777777" w:rsidR="001C3851" w:rsidRDefault="00000000">
            <w:r>
              <w:rPr>
                <w:rFonts w:ascii="宋体" w:hAnsi="宋体"/>
                <w:b/>
                <w:sz w:val="18"/>
              </w:rPr>
              <w:t>在本文模型中的作用</w:t>
            </w:r>
          </w:p>
        </w:tc>
      </w:tr>
      <w:tr w:rsidR="001C3851" w14:paraId="2BC6BA4C" w14:textId="77777777">
        <w:trPr>
          <w:jc w:val="center"/>
        </w:trPr>
        <w:tc>
          <w:tcPr>
            <w:tcW w:w="3120" w:type="dxa"/>
            <w:vAlign w:val="center"/>
          </w:tcPr>
          <w:p w14:paraId="60FDD6BE" w14:textId="77777777" w:rsidR="001C3851" w:rsidRDefault="00000000">
            <w:r>
              <w:rPr>
                <w:rFonts w:ascii="宋体" w:hAnsi="宋体"/>
                <w:sz w:val="18"/>
              </w:rPr>
              <w:t>NSGA-II 全局搜索</w:t>
            </w:r>
          </w:p>
        </w:tc>
        <w:tc>
          <w:tcPr>
            <w:tcW w:w="3120" w:type="dxa"/>
            <w:vAlign w:val="center"/>
          </w:tcPr>
          <w:p w14:paraId="052428EB" w14:textId="77777777" w:rsidR="001C3851" w:rsidRDefault="00000000">
            <w:pPr>
              <w:rPr>
                <w:lang w:eastAsia="zh-CN"/>
              </w:rPr>
            </w:pPr>
            <w:r>
              <w:rPr>
                <w:rFonts w:ascii="宋体" w:hAnsi="宋体"/>
                <w:sz w:val="18"/>
                <w:lang w:eastAsia="zh-CN"/>
              </w:rPr>
              <w:t>快速非支配排序、拥挤距离计算和精英保留</w:t>
            </w:r>
          </w:p>
        </w:tc>
        <w:tc>
          <w:tcPr>
            <w:tcW w:w="3120" w:type="dxa"/>
            <w:vAlign w:val="center"/>
          </w:tcPr>
          <w:p w14:paraId="57427671" w14:textId="77777777" w:rsidR="001C3851" w:rsidRDefault="00000000">
            <w:pPr>
              <w:rPr>
                <w:lang w:eastAsia="zh-CN"/>
              </w:rPr>
            </w:pPr>
            <w:r>
              <w:rPr>
                <w:rFonts w:ascii="宋体" w:hAnsi="宋体"/>
                <w:sz w:val="18"/>
                <w:lang w:eastAsia="zh-CN"/>
              </w:rPr>
              <w:t>获得覆盖不同成本—服务比例权衡关系的 Pareto 候选解集</w:t>
            </w:r>
          </w:p>
        </w:tc>
      </w:tr>
      <w:tr w:rsidR="001C3851" w14:paraId="2DE2466A" w14:textId="77777777">
        <w:trPr>
          <w:jc w:val="center"/>
        </w:trPr>
        <w:tc>
          <w:tcPr>
            <w:tcW w:w="3120" w:type="dxa"/>
            <w:vAlign w:val="center"/>
          </w:tcPr>
          <w:p w14:paraId="01E5C902" w14:textId="77777777" w:rsidR="001C3851" w:rsidRDefault="00000000">
            <w:r>
              <w:rPr>
                <w:rFonts w:ascii="宋体" w:hAnsi="宋体"/>
                <w:sz w:val="18"/>
              </w:rPr>
              <w:t>VNS 局部搜索</w:t>
            </w:r>
          </w:p>
        </w:tc>
        <w:tc>
          <w:tcPr>
            <w:tcW w:w="3120" w:type="dxa"/>
            <w:vAlign w:val="center"/>
          </w:tcPr>
          <w:p w14:paraId="675D0B92" w14:textId="77777777" w:rsidR="001C3851" w:rsidRDefault="00000000">
            <w:pPr>
              <w:rPr>
                <w:lang w:eastAsia="zh-CN"/>
              </w:rPr>
            </w:pPr>
            <w:r>
              <w:rPr>
                <w:rFonts w:ascii="宋体" w:hAnsi="宋体"/>
                <w:sz w:val="18"/>
                <w:lang w:eastAsia="zh-CN"/>
              </w:rPr>
              <w:t>对精英解执行开启、关闭、替换和重分配等邻域扰动</w:t>
            </w:r>
          </w:p>
        </w:tc>
        <w:tc>
          <w:tcPr>
            <w:tcW w:w="3120" w:type="dxa"/>
            <w:vAlign w:val="center"/>
          </w:tcPr>
          <w:p w14:paraId="7791C292" w14:textId="77777777" w:rsidR="001C3851" w:rsidRDefault="00000000">
            <w:pPr>
              <w:rPr>
                <w:lang w:eastAsia="zh-CN"/>
              </w:rPr>
            </w:pPr>
            <w:r>
              <w:rPr>
                <w:rFonts w:ascii="宋体" w:hAnsi="宋体"/>
                <w:sz w:val="18"/>
                <w:lang w:eastAsia="zh-CN"/>
              </w:rPr>
              <w:t>增强转运点布局和货流分配方案的局部改进能力</w:t>
            </w:r>
          </w:p>
        </w:tc>
      </w:tr>
      <w:tr w:rsidR="001C3851" w14:paraId="50392DF0" w14:textId="77777777">
        <w:trPr>
          <w:jc w:val="center"/>
        </w:trPr>
        <w:tc>
          <w:tcPr>
            <w:tcW w:w="3120" w:type="dxa"/>
            <w:vAlign w:val="center"/>
          </w:tcPr>
          <w:p w14:paraId="5CB40F39" w14:textId="77777777" w:rsidR="001C3851" w:rsidRDefault="00000000">
            <w:r>
              <w:rPr>
                <w:rFonts w:ascii="宋体" w:hAnsi="宋体"/>
                <w:sz w:val="18"/>
              </w:rPr>
              <w:t>Q-learning 动作调节</w:t>
            </w:r>
          </w:p>
        </w:tc>
        <w:tc>
          <w:tcPr>
            <w:tcW w:w="3120" w:type="dxa"/>
            <w:vAlign w:val="center"/>
          </w:tcPr>
          <w:p w14:paraId="02B8D8D3" w14:textId="77777777" w:rsidR="001C3851" w:rsidRDefault="00000000">
            <w:pPr>
              <w:rPr>
                <w:lang w:eastAsia="zh-CN"/>
              </w:rPr>
            </w:pPr>
            <w:r>
              <w:rPr>
                <w:rFonts w:ascii="宋体" w:hAnsi="宋体"/>
                <w:sz w:val="18"/>
                <w:lang w:eastAsia="zh-CN"/>
              </w:rPr>
              <w:t>根据搜索状态更新动作价值并调整扰动倾向</w:t>
            </w:r>
          </w:p>
        </w:tc>
        <w:tc>
          <w:tcPr>
            <w:tcW w:w="3120" w:type="dxa"/>
            <w:vAlign w:val="center"/>
          </w:tcPr>
          <w:p w14:paraId="0862C556" w14:textId="77777777" w:rsidR="001C3851" w:rsidRDefault="00000000">
            <w:pPr>
              <w:rPr>
                <w:lang w:eastAsia="zh-CN"/>
              </w:rPr>
            </w:pPr>
            <w:r>
              <w:rPr>
                <w:rFonts w:ascii="宋体" w:hAnsi="宋体"/>
                <w:sz w:val="18"/>
                <w:lang w:eastAsia="zh-CN"/>
              </w:rPr>
              <w:t>提高算法对不同进化阶段和可行性状态的自适应能力</w:t>
            </w:r>
          </w:p>
        </w:tc>
      </w:tr>
      <w:tr w:rsidR="001C3851" w14:paraId="51DED40F" w14:textId="77777777">
        <w:trPr>
          <w:jc w:val="center"/>
        </w:trPr>
        <w:tc>
          <w:tcPr>
            <w:tcW w:w="3120" w:type="dxa"/>
            <w:vAlign w:val="center"/>
          </w:tcPr>
          <w:p w14:paraId="3CA43BC7" w14:textId="77777777" w:rsidR="001C3851" w:rsidRDefault="00000000">
            <w:r>
              <w:rPr>
                <w:rFonts w:ascii="宋体" w:hAnsi="宋体"/>
                <w:sz w:val="18"/>
              </w:rPr>
              <w:t>外部档案维护</w:t>
            </w:r>
          </w:p>
        </w:tc>
        <w:tc>
          <w:tcPr>
            <w:tcW w:w="3120" w:type="dxa"/>
            <w:vAlign w:val="center"/>
          </w:tcPr>
          <w:p w14:paraId="0396058F" w14:textId="77777777" w:rsidR="001C3851" w:rsidRDefault="00000000">
            <w:pPr>
              <w:rPr>
                <w:lang w:eastAsia="zh-CN"/>
              </w:rPr>
            </w:pPr>
            <w:r>
              <w:rPr>
                <w:rFonts w:ascii="宋体" w:hAnsi="宋体"/>
                <w:sz w:val="18"/>
                <w:lang w:eastAsia="zh-CN"/>
              </w:rPr>
              <w:t>保存历史非支配解、边界解和代表性解</w:t>
            </w:r>
          </w:p>
        </w:tc>
        <w:tc>
          <w:tcPr>
            <w:tcW w:w="3120" w:type="dxa"/>
            <w:vAlign w:val="center"/>
          </w:tcPr>
          <w:p w14:paraId="2D5FDE45" w14:textId="77777777" w:rsidR="001C3851" w:rsidRDefault="00000000">
            <w:pPr>
              <w:rPr>
                <w:lang w:eastAsia="zh-CN"/>
              </w:rPr>
            </w:pPr>
            <w:r>
              <w:rPr>
                <w:rFonts w:ascii="宋体" w:hAnsi="宋体"/>
                <w:sz w:val="18"/>
                <w:lang w:eastAsia="zh-CN"/>
              </w:rPr>
              <w:t>提高 Pareto 前沿稳定性，并为第五章方案解释提供候选解基础</w:t>
            </w:r>
          </w:p>
        </w:tc>
      </w:tr>
      <w:tr w:rsidR="001C3851" w14:paraId="34DC01F4" w14:textId="77777777">
        <w:trPr>
          <w:jc w:val="center"/>
        </w:trPr>
        <w:tc>
          <w:tcPr>
            <w:tcW w:w="3120" w:type="dxa"/>
            <w:vAlign w:val="center"/>
          </w:tcPr>
          <w:p w14:paraId="6C7A18DD" w14:textId="77777777" w:rsidR="001C3851" w:rsidRDefault="00000000">
            <w:r>
              <w:rPr>
                <w:rFonts w:ascii="宋体" w:hAnsi="宋体"/>
                <w:sz w:val="18"/>
              </w:rPr>
              <w:t>safeguard 回滚机制</w:t>
            </w:r>
          </w:p>
        </w:tc>
        <w:tc>
          <w:tcPr>
            <w:tcW w:w="3120" w:type="dxa"/>
            <w:vAlign w:val="center"/>
          </w:tcPr>
          <w:p w14:paraId="2318D930" w14:textId="77777777" w:rsidR="001C3851" w:rsidRDefault="00000000">
            <w:pPr>
              <w:rPr>
                <w:lang w:eastAsia="zh-CN"/>
              </w:rPr>
            </w:pPr>
            <w:r>
              <w:rPr>
                <w:rFonts w:ascii="宋体" w:hAnsi="宋体"/>
                <w:sz w:val="18"/>
                <w:lang w:eastAsia="zh-CN"/>
              </w:rPr>
              <w:t>拒绝导致档案质量明显退化的不利扰动</w:t>
            </w:r>
          </w:p>
        </w:tc>
        <w:tc>
          <w:tcPr>
            <w:tcW w:w="3120" w:type="dxa"/>
            <w:vAlign w:val="center"/>
          </w:tcPr>
          <w:p w14:paraId="0B50C681" w14:textId="77777777" w:rsidR="001C3851" w:rsidRDefault="00000000">
            <w:pPr>
              <w:rPr>
                <w:lang w:eastAsia="zh-CN"/>
              </w:rPr>
            </w:pPr>
            <w:r>
              <w:rPr>
                <w:rFonts w:ascii="宋体" w:hAnsi="宋体"/>
                <w:sz w:val="18"/>
                <w:lang w:eastAsia="zh-CN"/>
              </w:rPr>
              <w:t>降低局部搜索和强化学习扰动带来的前沿退化风险</w:t>
            </w:r>
          </w:p>
        </w:tc>
      </w:tr>
    </w:tbl>
    <w:p w14:paraId="7743C53B" w14:textId="77777777" w:rsidR="00721AE4" w:rsidRDefault="00000000">
      <w:pPr>
        <w:pStyle w:val="31"/>
      </w:pPr>
      <w:r>
        <w:rPr>
          <w:rFonts w:ascii="黑体" w:eastAsia="黑体" w:hAnsi="黑体"/>
        </w:rPr>
        <w:t>4.4.1 NSGA-II 算法基本原理</w:t>
      </w:r>
    </w:p>
    <w:p w14:paraId="7DF24F3B" w14:textId="77777777" w:rsidR="00721AE4" w:rsidRDefault="00000000">
      <w:pPr>
        <w:spacing w:line="360" w:lineRule="auto"/>
        <w:ind w:firstLine="480"/>
        <w:rPr>
          <w:lang w:eastAsia="zh-CN"/>
        </w:rPr>
      </w:pPr>
      <w:r>
        <w:rPr>
          <w:rFonts w:ascii="宋体" w:hAnsi="宋体"/>
          <w:lang w:eastAsia="zh-CN"/>
        </w:rPr>
        <w:t>NSGA-II 是一种经典多目标进化算法，其核心思想是通过快速非支配排序将种群划分为不同 Pareto 等级，并利用拥挤距离维持同一等级内解的分布多样性。在本文模型中，每个个体表示一个候选转运点启用方案及其货流分配方案。设候选转运点数量为 |K|，物流园区数量为 |I|，需求点数量为 |J|，染色体由两部分组成：第一部分为候选转运点启</w:t>
      </w:r>
      <w:r>
        <w:rPr>
          <w:rFonts w:ascii="宋体" w:hAnsi="宋体"/>
          <w:lang w:eastAsia="zh-CN"/>
        </w:rPr>
        <w:lastRenderedPageBreak/>
        <w:t>用基因，表示站点 k 是否启用；第二部分为货流分配基因，表示物流园区 i 至需求点 j 的货流采用公路直送或分配至某一启用转运点。</w:t>
      </w:r>
    </w:p>
    <w:p w14:paraId="53D692BA" w14:textId="77777777" w:rsidR="00721AE4" w:rsidRDefault="00000000">
      <w:pPr>
        <w:spacing w:line="360" w:lineRule="auto"/>
        <w:ind w:firstLine="480"/>
        <w:rPr>
          <w:lang w:eastAsia="zh-CN"/>
        </w:rPr>
      </w:pPr>
      <w:r>
        <w:rPr>
          <w:rFonts w:ascii="宋体" w:hAnsi="宋体"/>
          <w:lang w:eastAsia="zh-CN"/>
        </w:rPr>
        <w:t>在初始种群生成阶段，算法结合候选站点可达性、需求覆盖潜力和约束修复机制生成可行或近似可行的初始方案。对于交叉和变异后产生的个体，算法进一步执行服务半径、转运点启用、线路开设数量、转运点间距和装载能力等修复操作，以降低不可行解比例。随后，根据综合成本目标 Z_1 和地铁服务比例目标 Z_2 进行非支配排序，并采用拥挤距离保持 Pareto 前沿的分布性。</w:t>
      </w:r>
    </w:p>
    <w:p w14:paraId="69C7D2FE" w14:textId="77777777" w:rsidR="00721AE4" w:rsidRDefault="00000000">
      <w:pPr>
        <w:spacing w:line="360" w:lineRule="auto"/>
        <w:ind w:firstLine="480"/>
        <w:rPr>
          <w:lang w:eastAsia="zh-CN"/>
        </w:rPr>
      </w:pPr>
      <w:r>
        <w:rPr>
          <w:rFonts w:ascii="宋体" w:hAnsi="宋体"/>
          <w:lang w:eastAsia="zh-CN"/>
        </w:rPr>
        <w:t>NSGA-II 在本文中的作用主要体现在三个方面：一是提供全局多目标搜索框架，获得覆盖不同成本—服务权衡关系的候选解集；二是通过精英保留机制维持优质解传递；三是利用拥挤距离避免种群过早集中于局部区域，为后续 VNS 局部搜索和 Q-learning 搜索动作调节提供多样化基础。</w:t>
      </w:r>
    </w:p>
    <w:p w14:paraId="31F649EB" w14:textId="77777777" w:rsidR="00721AE4" w:rsidRDefault="00000000">
      <w:pPr>
        <w:pStyle w:val="31"/>
        <w:rPr>
          <w:lang w:eastAsia="zh-CN"/>
        </w:rPr>
      </w:pPr>
      <w:r>
        <w:rPr>
          <w:rFonts w:ascii="黑体" w:eastAsia="黑体" w:hAnsi="黑体"/>
        </w:rPr>
        <w:t>4.4.2 变量邻域搜索机制设计</w:t>
      </w:r>
    </w:p>
    <w:p w14:paraId="507E8893" w14:textId="77777777" w:rsidR="00721AE4" w:rsidRDefault="00000000">
      <w:pPr>
        <w:spacing w:line="360" w:lineRule="auto"/>
        <w:ind w:firstLine="480"/>
        <w:rPr>
          <w:lang w:eastAsia="zh-CN"/>
        </w:rPr>
      </w:pPr>
      <w:r>
        <w:rPr>
          <w:rFonts w:ascii="宋体" w:hAnsi="宋体"/>
          <w:lang w:eastAsia="zh-CN"/>
        </w:rPr>
        <w:t>变量邻域搜索（Variable Neighborhood Search, VNS）用于弥补标准 NSGA-II 局部开发能力不足的问题。本文围绕地铁物流转运点布局决策和货流分配决策设计多类邻域结构，使算法能够在已有非支配解附近进行有针对性的局部改进。邻域操作主要包括：转运点开启、转运点关闭、转运点替换、货流重分配、服务覆盖强化和成本压缩等类型。</w:t>
      </w:r>
    </w:p>
    <w:p w14:paraId="214A3ED4" w14:textId="77777777" w:rsidR="00721AE4" w:rsidRDefault="00000000">
      <w:pPr>
        <w:spacing w:line="360" w:lineRule="auto"/>
        <w:ind w:firstLine="480"/>
        <w:rPr>
          <w:lang w:eastAsia="zh-CN"/>
        </w:rPr>
      </w:pPr>
      <w:r>
        <w:rPr>
          <w:rFonts w:ascii="宋体" w:hAnsi="宋体"/>
          <w:lang w:eastAsia="zh-CN"/>
        </w:rPr>
        <w:t>转运点开启邻域用于在可行候选站点中新增服务潜力较高的站点，以提高地铁服务比例；转运点关闭邻域用于移除利用率较低或固定成本贡献较高的站点，以降低综合成本；转运点替换邻域通过“关闭—开启”组合在保持站点数量相对稳定的条件下调整空间布局；货流重分配邻域则在既有启用站点集合下重新匹配需求点与转运点，以改善容量利用和服务半径约束满足情况。</w:t>
      </w:r>
    </w:p>
    <w:p w14:paraId="3859132C" w14:textId="77777777" w:rsidR="00721AE4" w:rsidRDefault="00000000">
      <w:pPr>
        <w:spacing w:line="360" w:lineRule="auto"/>
        <w:ind w:firstLine="480"/>
        <w:rPr>
          <w:lang w:eastAsia="zh-CN"/>
        </w:rPr>
      </w:pPr>
      <w:r>
        <w:rPr>
          <w:rFonts w:ascii="宋体" w:hAnsi="宋体"/>
          <w:lang w:eastAsia="zh-CN"/>
        </w:rPr>
        <w:t>VNS 不对全部个体进行无差别搜索，而是优先作用于外部档案或当前 Pareto 精英解。这样既可以控制计算开销，也可以将局部开发资源集中于更有潜力的区域。对于每次邻域扰动后的候选解，算法重新进行约束修复和目标函数评价，仅当其有助于改善非支配解集质量、服务覆盖或成本表现时，才将其纳入后续竞争。</w:t>
      </w:r>
    </w:p>
    <w:p w14:paraId="4C4155C0" w14:textId="77777777" w:rsidR="00721AE4" w:rsidRDefault="00000000">
      <w:pPr>
        <w:pStyle w:val="31"/>
        <w:rPr>
          <w:lang w:eastAsia="zh-CN"/>
        </w:rPr>
      </w:pPr>
      <w:r>
        <w:rPr>
          <w:rFonts w:ascii="黑体" w:eastAsia="黑体" w:hAnsi="黑体"/>
        </w:rPr>
        <w:lastRenderedPageBreak/>
        <w:t>4.4.3 Q-learning 驱动的邻域动作选择机制</w:t>
      </w:r>
    </w:p>
    <w:p w14:paraId="01838DA1" w14:textId="77777777" w:rsidR="00721AE4" w:rsidRDefault="00000000">
      <w:pPr>
        <w:spacing w:line="360" w:lineRule="auto"/>
        <w:ind w:firstLine="480"/>
        <w:rPr>
          <w:lang w:eastAsia="zh-CN"/>
        </w:rPr>
      </w:pPr>
      <w:r>
        <w:rPr>
          <w:rFonts w:ascii="宋体" w:hAnsi="宋体"/>
          <w:lang w:eastAsia="zh-CN"/>
        </w:rPr>
        <w:t>为提高搜索过程对不同进化阶段的适应能力，本文引入 Q-learning 作为搜索动作选择机制。Q-learning 通过状态—动作价值函数记录不同搜索状态下各类扰动动作的历史收益，并据此调整后续动作选择概率。与直接由人工固定扰动强度相比，该机制能够根据种群演化状态自适应地平衡探索与开发。</w:t>
      </w:r>
    </w:p>
    <w:p w14:paraId="2EDD1C07" w14:textId="77777777" w:rsidR="00721AE4" w:rsidRDefault="00000000">
      <w:pPr>
        <w:spacing w:line="360" w:lineRule="auto"/>
        <w:ind w:firstLine="480"/>
        <w:rPr>
          <w:lang w:eastAsia="zh-CN"/>
        </w:rPr>
      </w:pPr>
      <w:r>
        <w:rPr>
          <w:rFonts w:ascii="宋体" w:hAnsi="宋体"/>
          <w:lang w:eastAsia="zh-CN"/>
        </w:rPr>
        <w:t>本文将算法状态刻画为与搜索质量和可行性相关的离散状态组合，主要包括进化阶段、可行解比例、非支配解比例、前沿改进幅度和档案多样性等信息。动作集合则对应不同搜索倾向的保守扰动策略，例如增强服务覆盖、压缩成本、改善多样性或维持当前搜索强度。动作选择采用 epsilon-greedy 策略：在前期保持一定随机探索，在后期逐步降低随机性并更多利用已学习到的高价值动作。</w:t>
      </w:r>
    </w:p>
    <w:p w14:paraId="7388F768" w14:textId="77777777" w:rsidR="00721AE4" w:rsidRDefault="00000000">
      <w:pPr>
        <w:spacing w:line="360" w:lineRule="auto"/>
        <w:ind w:firstLine="480"/>
        <w:rPr>
          <w:lang w:eastAsia="zh-CN"/>
        </w:rPr>
      </w:pPr>
      <w:r>
        <w:rPr>
          <w:rFonts w:ascii="宋体" w:hAnsi="宋体"/>
          <w:lang w:eastAsia="zh-CN"/>
        </w:rPr>
        <w:t>每一代扰动完成后，算法根据外部档案质量变化、非支配解数量变化、服务比例改善、成本改善和约束违反变化计算奖励值，并按 Q-learning 更新公式修正状态—动作价值：</w:t>
      </w:r>
    </w:p>
    <w:p w14:paraId="68884554" w14:textId="77777777" w:rsidR="00721AE4" w:rsidRDefault="00000000">
      <w:pPr>
        <w:spacing w:line="360" w:lineRule="auto"/>
        <w:ind w:firstLine="480"/>
        <w:jc w:val="center"/>
      </w:pPr>
      <w:r>
        <w:rPr>
          <w:rFonts w:ascii="Cambria Math" w:eastAsia="Cambria Math" w:hAnsi="Cambria Math"/>
        </w:rPr>
        <w:t>Q(s,a) ← Q(s,a) + α[r + γ max_{a′}Q(s′,a′) - Q(s,a)]</w:t>
      </w:r>
    </w:p>
    <w:p w14:paraId="4ED8A95E" w14:textId="77777777" w:rsidR="00721AE4" w:rsidRDefault="00000000">
      <w:pPr>
        <w:spacing w:line="360" w:lineRule="auto"/>
        <w:ind w:firstLine="480"/>
        <w:rPr>
          <w:lang w:eastAsia="zh-CN"/>
        </w:rPr>
      </w:pPr>
      <w:r>
        <w:rPr>
          <w:rFonts w:ascii="宋体" w:hAnsi="宋体"/>
          <w:lang w:eastAsia="zh-CN"/>
        </w:rPr>
        <w:t>其中，s 和 s' 分别表示扰动前后的搜索状态，a 为所选动作，r 为即时奖励，alpha 为学习率，gamma 为折扣因子。通过该机制，算法能够逐步识别在不同搜索阶段更有效的扰动方式，从而提高复杂约束下的搜索稳定性。</w:t>
      </w:r>
    </w:p>
    <w:p w14:paraId="68E64CAB" w14:textId="77777777" w:rsidR="00721AE4" w:rsidRDefault="00000000">
      <w:pPr>
        <w:pStyle w:val="31"/>
        <w:rPr>
          <w:lang w:eastAsia="zh-CN"/>
        </w:rPr>
      </w:pPr>
      <w:r>
        <w:rPr>
          <w:rFonts w:ascii="黑体" w:eastAsia="黑体" w:hAnsi="黑体"/>
        </w:rPr>
        <w:t>4.4.4 外部档案与 safeguard 回滚机制</w:t>
      </w:r>
    </w:p>
    <w:p w14:paraId="66182DEF" w14:textId="77777777" w:rsidR="00721AE4" w:rsidRDefault="00000000">
      <w:pPr>
        <w:spacing w:line="360" w:lineRule="auto"/>
        <w:ind w:firstLine="480"/>
        <w:rPr>
          <w:lang w:eastAsia="zh-CN"/>
        </w:rPr>
      </w:pPr>
      <w:r>
        <w:rPr>
          <w:rFonts w:ascii="宋体" w:hAnsi="宋体"/>
          <w:lang w:eastAsia="zh-CN"/>
        </w:rPr>
        <w:t>外部档案用于保存搜索过程中获得的历史非支配解。与仅依赖当前种群的精英保留不同，外部档案能够跨代保存曾经出现的优质解，降低优秀边界解在交叉、变异和选择过程中丢失的风险。本文在档案更新时综合考虑非支配关系、解的唯一性、拥挤距离和边界解保留，使档案既能记录高质量解，也能维持 Pareto 前沿两端及中部区域的覆盖。</w:t>
      </w:r>
    </w:p>
    <w:p w14:paraId="48A726A8" w14:textId="77777777" w:rsidR="00721AE4" w:rsidRDefault="00000000">
      <w:pPr>
        <w:spacing w:line="360" w:lineRule="auto"/>
        <w:ind w:firstLine="480"/>
        <w:rPr>
          <w:lang w:eastAsia="zh-CN"/>
        </w:rPr>
      </w:pPr>
      <w:r>
        <w:rPr>
          <w:rFonts w:ascii="宋体" w:hAnsi="宋体"/>
          <w:lang w:eastAsia="zh-CN"/>
        </w:rPr>
        <w:t>外部档案还承担精英反馈作用。算法可从档案中选取部分代表性非支配解回注至种群，增强种群对历史优质区域的利用能力。对于地铁物流转运点布局问题而言，边界解具有明确决策含义：最低成本解有助于分析保守建设方案，最高服务比例解有助于分析最大地铁承接能力，折中解则用于平衡成本与服务水平。因此，档案机制不仅服务于算法性能，也服务于第五章的方案解释。</w:t>
      </w:r>
    </w:p>
    <w:p w14:paraId="4F82C609" w14:textId="77777777" w:rsidR="00721AE4" w:rsidRDefault="00000000">
      <w:pPr>
        <w:spacing w:line="360" w:lineRule="auto"/>
        <w:ind w:firstLine="480"/>
        <w:rPr>
          <w:lang w:eastAsia="zh-CN"/>
        </w:rPr>
      </w:pPr>
      <w:r>
        <w:rPr>
          <w:rFonts w:ascii="宋体" w:hAnsi="宋体"/>
          <w:lang w:eastAsia="zh-CN"/>
        </w:rPr>
        <w:lastRenderedPageBreak/>
        <w:t>为避免 Q-learning 扰动或局部搜索导致档案前沿质量退化，本文进一步设置 safeguard 回滚机制。当某一代扰动后档案层面的综合奖励低于预设阈值时，算法拒绝该次扰动造成的档案更新，并回滚至扰动前状态。该机制能够抑制不利扰动的累积影响，增强算法在多约束场景下的鲁棒性。</w:t>
      </w:r>
    </w:p>
    <w:p w14:paraId="66F41A4A" w14:textId="77777777" w:rsidR="00721AE4" w:rsidRDefault="00000000">
      <w:pPr>
        <w:pStyle w:val="31"/>
      </w:pPr>
      <w:r>
        <w:rPr>
          <w:rFonts w:ascii="黑体" w:eastAsia="黑体" w:hAnsi="黑体"/>
        </w:rPr>
        <w:t>4.4.5 QVNS-NSGA-II算法框架</w:t>
      </w:r>
    </w:p>
    <w:p w14:paraId="3DA16C9D" w14:textId="77777777" w:rsidR="00721AE4" w:rsidRDefault="00000000">
      <w:pPr>
        <w:spacing w:line="360" w:lineRule="auto"/>
        <w:ind w:firstLine="480"/>
        <w:rPr>
          <w:lang w:eastAsia="zh-CN"/>
        </w:rPr>
      </w:pPr>
      <w:r>
        <w:rPr>
          <w:rFonts w:ascii="宋体" w:hAnsi="宋体"/>
        </w:rPr>
        <w:t>综上，本文构建的 QVNS-NSGA-II 算法由 NSGA-II 全局搜索、VNS 精英局部开发、Q-learning 搜索动作调节、外部档案维护和 safeguard 回滚五个模块组成。</w:t>
      </w:r>
      <w:r>
        <w:rPr>
          <w:rFonts w:ascii="宋体" w:hAnsi="宋体"/>
          <w:lang w:eastAsia="zh-CN"/>
        </w:rPr>
        <w:t>其基本逻辑为：首先生成初始种群并进行约束修复；其次对种群进行目标函数评价、非支配排序和拥挤距离计算；再次通过选择、交叉和变异产生子代，并对新个体执行修复和评价；随后利用外部档案保存历史非支配解，并对档案或 Pareto 精英解执行 VNS 局部搜索；最后由 Q-learning 根据搜索状态更新动作价值，并在 safeguard 机制约束下决定是否接受扰动结果。</w:t>
      </w:r>
    </w:p>
    <w:p w14:paraId="74D093CE" w14:textId="77777777" w:rsidR="00721AE4" w:rsidRDefault="00000000">
      <w:pPr>
        <w:spacing w:line="360" w:lineRule="auto"/>
        <w:ind w:firstLine="480"/>
        <w:rPr>
          <w:lang w:eastAsia="zh-CN"/>
        </w:rPr>
      </w:pPr>
      <w:r>
        <w:rPr>
          <w:rFonts w:ascii="宋体" w:hAnsi="宋体"/>
          <w:lang w:eastAsia="zh-CN"/>
        </w:rPr>
        <w:t>本文将 QVNS-NSGA-II 作为第四章模型的求解算法。算法参数组的具体选择属于实证验证内容，将在第五章结合多次独立运行、Pareto 前沿质量、收敛表现、运行时间和稳定性指标进行比较确定。因此，本章重点说明算法结构、搜索机制和约束处理逻辑，不在方法章节中固定具体参数组。</w:t>
      </w:r>
    </w:p>
    <w:p w14:paraId="00C33EB3" w14:textId="77777777" w:rsidR="00893DA0" w:rsidRDefault="00893DA0">
      <w:pPr>
        <w:rPr>
          <w:lang w:eastAsia="zh-CN"/>
        </w:rPr>
      </w:pPr>
    </w:p>
    <w:p w14:paraId="5D490C0D" w14:textId="017BCBF3" w:rsidR="00893DA0" w:rsidRDefault="00F26C1B">
      <w:pPr>
        <w:jc w:val="center"/>
      </w:pPr>
      <w:r w:rsidRPr="00F26C1B">
        <w:rPr>
          <w:noProof/>
        </w:rPr>
        <w:lastRenderedPageBreak/>
        <w:drawing>
          <wp:inline distT="0" distB="0" distL="0" distR="0" wp14:anchorId="07770D4E" wp14:editId="4FB2070E">
            <wp:extent cx="4270407" cy="7818120"/>
            <wp:effectExtent l="0" t="0" r="0" b="0"/>
            <wp:docPr id="1616645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6169" cy="7828669"/>
                    </a:xfrm>
                    <a:prstGeom prst="rect">
                      <a:avLst/>
                    </a:prstGeom>
                    <a:noFill/>
                    <a:ln>
                      <a:noFill/>
                    </a:ln>
                  </pic:spPr>
                </pic:pic>
              </a:graphicData>
            </a:graphic>
          </wp:inline>
        </w:drawing>
      </w:r>
    </w:p>
    <w:p w14:paraId="56604350" w14:textId="77777777" w:rsidR="00893DA0" w:rsidRDefault="00000000">
      <w:pPr>
        <w:spacing w:line="360" w:lineRule="auto"/>
        <w:ind w:firstLine="480"/>
        <w:jc w:val="center"/>
        <w:rPr>
          <w:lang w:eastAsia="zh-CN"/>
        </w:rPr>
      </w:pPr>
      <w:r>
        <w:rPr>
          <w:rFonts w:ascii="宋体" w:hAnsi="宋体"/>
          <w:b/>
          <w:sz w:val="20"/>
          <w:lang w:eastAsia="zh-CN"/>
        </w:rPr>
        <w:t>图 4-1 QVNS-NSGA-II 算法执行逻辑流程图</w:t>
      </w:r>
    </w:p>
    <w:p w14:paraId="46032B47" w14:textId="77777777" w:rsidR="00893DA0" w:rsidRDefault="00000000">
      <w:pPr>
        <w:spacing w:line="360" w:lineRule="auto"/>
        <w:ind w:firstLine="480"/>
        <w:rPr>
          <w:lang w:eastAsia="zh-CN"/>
        </w:rPr>
      </w:pPr>
      <w:r>
        <w:rPr>
          <w:rFonts w:ascii="宋体" w:hAnsi="宋体"/>
          <w:lang w:eastAsia="zh-CN"/>
        </w:rPr>
        <w:lastRenderedPageBreak/>
        <w:t>注：A 表示外部档案，P′ 表示候选下一代种群；绿色模块对应外部档案维护与反馈，蓝色模块对应 Q-learning 动作选择与更新，粉色模块对应 VNS 局部搜索，红色模块对应 safeguard 回滚保护。</w:t>
      </w:r>
    </w:p>
    <w:p w14:paraId="02A02D1F" w14:textId="77777777" w:rsidR="001C3851" w:rsidRDefault="00000000">
      <w:pPr>
        <w:spacing w:line="360" w:lineRule="auto"/>
        <w:ind w:firstLine="480"/>
        <w:rPr>
          <w:lang w:eastAsia="zh-CN"/>
        </w:rPr>
      </w:pPr>
      <w:r>
        <w:rPr>
          <w:rFonts w:ascii="宋体" w:hAnsi="宋体"/>
          <w:b/>
          <w:lang w:eastAsia="zh-CN"/>
        </w:rPr>
        <w:t>（1）约束修复与可行性处理</w:t>
      </w:r>
    </w:p>
    <w:p w14:paraId="55EFA812" w14:textId="77777777" w:rsidR="001C3851" w:rsidRDefault="00000000">
      <w:pPr>
        <w:spacing w:line="360" w:lineRule="auto"/>
        <w:ind w:firstLine="480"/>
        <w:rPr>
          <w:lang w:eastAsia="zh-CN"/>
        </w:rPr>
      </w:pPr>
      <w:r>
        <w:rPr>
          <w:rFonts w:ascii="宋体" w:hAnsi="宋体"/>
          <w:lang w:eastAsia="zh-CN"/>
        </w:rPr>
        <w:t>由于本文模型同时包含空间服务、站点容量、线路班次和变量取值等多类约束，交叉、变异和邻域扰动后生成的个体可能出现不可行情形。为降低不可行解比例并提高算法搜索效率，本文在个体初始化、遗传操作和 VNS 邻域扰动后均设置约束修复过程。</w:t>
      </w:r>
    </w:p>
    <w:p w14:paraId="660FA204" w14:textId="77777777" w:rsidR="001C3851" w:rsidRDefault="00000000">
      <w:pPr>
        <w:spacing w:line="360" w:lineRule="auto"/>
        <w:ind w:firstLine="480"/>
        <w:rPr>
          <w:lang w:eastAsia="zh-CN"/>
        </w:rPr>
      </w:pPr>
      <w:r>
        <w:rPr>
          <w:rFonts w:ascii="宋体" w:hAnsi="宋体"/>
          <w:lang w:eastAsia="zh-CN"/>
        </w:rPr>
        <w:t>约束修复按照“启用关系—空间服务—站点能力—线路运营—班次装载”的顺序进行：首先修复货流分配与转运点启用之间的逻辑关系，确保货流只能分配至已启用站点；其次检查 4 km 末端接驳边界和最大换乘次数，将不满足空间服务条件的货流转为公路直送或重新分配；再次校验转运点容量和负载率，对超载站点进行货流转移，对低负载站点进行关闭或合并；随后检查每条线路最多转运点数量和转运点最小间距，删除或替换违反空间布局要求的站点；最后进行线路班次与单趟列车容量校验，确保地铁承接货流满足平峰期班次装载约束。</w:t>
      </w:r>
    </w:p>
    <w:p w14:paraId="6F0BEAD5" w14:textId="63DFCD2C" w:rsidR="001C3851" w:rsidRDefault="00000000" w:rsidP="00CB0874">
      <w:pPr>
        <w:spacing w:line="360" w:lineRule="auto"/>
        <w:ind w:firstLine="480"/>
        <w:rPr>
          <w:lang w:eastAsia="zh-CN"/>
        </w:rPr>
      </w:pPr>
      <w:r>
        <w:rPr>
          <w:rFonts w:ascii="宋体" w:hAnsi="宋体"/>
          <w:lang w:eastAsia="zh-CN"/>
        </w:rPr>
        <w:t>若经过修复后个体仍存在无法消除的约束违反，则在目标评价阶段记录约束违反度，并在非支配排序和个体竞争中降低其优先级。该处理兼顾了可行性维护和搜索多样性，有助于避免算法过早丢弃具有潜在改进价值的近似可行解。</w:t>
      </w:r>
    </w:p>
    <w:p w14:paraId="373CCFE9" w14:textId="77777777" w:rsidR="00721AE4" w:rsidRDefault="00000000">
      <w:pPr>
        <w:pStyle w:val="31"/>
        <w:rPr>
          <w:lang w:eastAsia="zh-CN"/>
        </w:rPr>
      </w:pPr>
      <w:r>
        <w:rPr>
          <w:rFonts w:ascii="黑体" w:eastAsia="黑体" w:hAnsi="黑体"/>
        </w:rPr>
        <w:t>4.4.6 算法流程与复杂度分析</w:t>
      </w:r>
    </w:p>
    <w:p w14:paraId="3300F217" w14:textId="77777777" w:rsidR="00721AE4" w:rsidRDefault="00000000">
      <w:pPr>
        <w:spacing w:line="360" w:lineRule="auto"/>
        <w:ind w:firstLine="480"/>
        <w:rPr>
          <w:lang w:eastAsia="zh-CN"/>
        </w:rPr>
      </w:pPr>
      <w:r>
        <w:rPr>
          <w:rFonts w:ascii="宋体" w:hAnsi="宋体"/>
          <w:lang w:eastAsia="zh-CN"/>
        </w:rPr>
        <w:t>QVNS-NSGA-II 的主要流程如下：</w:t>
      </w:r>
    </w:p>
    <w:p w14:paraId="46542B08" w14:textId="77777777" w:rsidR="00721AE4" w:rsidRDefault="00000000">
      <w:pPr>
        <w:spacing w:line="360" w:lineRule="auto"/>
        <w:ind w:firstLine="480"/>
        <w:rPr>
          <w:lang w:eastAsia="zh-CN"/>
        </w:rPr>
      </w:pPr>
      <w:r>
        <w:rPr>
          <w:rFonts w:ascii="宋体" w:hAnsi="宋体"/>
          <w:lang w:eastAsia="zh-CN"/>
        </w:rPr>
        <w:t>1. 输入候选转运点集合、需求点集合、物流园区货源比例、地铁路径矩阵、服务半径、容量、成本和碳排放参数；</w:t>
      </w:r>
    </w:p>
    <w:p w14:paraId="2603A11B" w14:textId="77777777" w:rsidR="00721AE4" w:rsidRDefault="00000000">
      <w:pPr>
        <w:spacing w:line="360" w:lineRule="auto"/>
        <w:ind w:firstLine="480"/>
        <w:rPr>
          <w:lang w:eastAsia="zh-CN"/>
        </w:rPr>
      </w:pPr>
      <w:r>
        <w:rPr>
          <w:rFonts w:ascii="宋体" w:hAnsi="宋体"/>
          <w:lang w:eastAsia="zh-CN"/>
        </w:rPr>
        <w:t>2. 初始化种群，并对个体执行启用站点、货流分配和服务边界等约束修复；</w:t>
      </w:r>
    </w:p>
    <w:p w14:paraId="7448626C" w14:textId="77777777" w:rsidR="00721AE4" w:rsidRDefault="00000000">
      <w:pPr>
        <w:spacing w:line="360" w:lineRule="auto"/>
        <w:ind w:firstLine="480"/>
        <w:rPr>
          <w:lang w:eastAsia="zh-CN"/>
        </w:rPr>
      </w:pPr>
      <w:r>
        <w:rPr>
          <w:rFonts w:ascii="宋体" w:hAnsi="宋体"/>
          <w:lang w:eastAsia="zh-CN"/>
        </w:rPr>
        <w:t>3. 计算每个个体的综合成本、地铁服务比例和约束违反度；</w:t>
      </w:r>
    </w:p>
    <w:p w14:paraId="17F4AC5E" w14:textId="77777777" w:rsidR="00721AE4" w:rsidRDefault="00000000">
      <w:pPr>
        <w:spacing w:line="360" w:lineRule="auto"/>
        <w:ind w:firstLine="480"/>
        <w:rPr>
          <w:lang w:eastAsia="zh-CN"/>
        </w:rPr>
      </w:pPr>
      <w:r>
        <w:rPr>
          <w:rFonts w:ascii="宋体" w:hAnsi="宋体"/>
          <w:lang w:eastAsia="zh-CN"/>
        </w:rPr>
        <w:t>4. 执行快速非支配排序和拥挤距离计算，形成父代精英集合；</w:t>
      </w:r>
    </w:p>
    <w:p w14:paraId="2085519D" w14:textId="77777777" w:rsidR="00721AE4" w:rsidRDefault="00000000">
      <w:pPr>
        <w:spacing w:line="360" w:lineRule="auto"/>
        <w:ind w:firstLine="480"/>
        <w:rPr>
          <w:lang w:eastAsia="zh-CN"/>
        </w:rPr>
      </w:pPr>
      <w:r>
        <w:rPr>
          <w:rFonts w:ascii="宋体" w:hAnsi="宋体"/>
          <w:lang w:eastAsia="zh-CN"/>
        </w:rPr>
        <w:lastRenderedPageBreak/>
        <w:t>5. 通过选择、交叉和变异生成子代，并对新个体进行修复和评价；</w:t>
      </w:r>
    </w:p>
    <w:p w14:paraId="3598C81B" w14:textId="77777777" w:rsidR="00721AE4" w:rsidRDefault="00000000">
      <w:pPr>
        <w:spacing w:line="360" w:lineRule="auto"/>
        <w:ind w:firstLine="480"/>
        <w:rPr>
          <w:lang w:eastAsia="zh-CN"/>
        </w:rPr>
      </w:pPr>
      <w:r>
        <w:rPr>
          <w:rFonts w:ascii="宋体" w:hAnsi="宋体"/>
          <w:lang w:eastAsia="zh-CN"/>
        </w:rPr>
        <w:t>6. 更新外部非支配档案，保留唯一非支配解和边界代表解；</w:t>
      </w:r>
    </w:p>
    <w:p w14:paraId="41418601" w14:textId="77777777" w:rsidR="00721AE4" w:rsidRDefault="00000000">
      <w:pPr>
        <w:spacing w:line="360" w:lineRule="auto"/>
        <w:ind w:firstLine="480"/>
        <w:rPr>
          <w:lang w:eastAsia="zh-CN"/>
        </w:rPr>
      </w:pPr>
      <w:r>
        <w:rPr>
          <w:rFonts w:ascii="宋体" w:hAnsi="宋体"/>
          <w:lang w:eastAsia="zh-CN"/>
        </w:rPr>
        <w:t>7. 根据搜索状态由 Q-learning 选择扰动动作，并更新状态—动作价值函数；</w:t>
      </w:r>
    </w:p>
    <w:p w14:paraId="09BEB82C" w14:textId="77777777" w:rsidR="00721AE4" w:rsidRDefault="00000000">
      <w:pPr>
        <w:spacing w:line="360" w:lineRule="auto"/>
        <w:ind w:firstLine="480"/>
        <w:rPr>
          <w:lang w:eastAsia="zh-CN"/>
        </w:rPr>
      </w:pPr>
      <w:r>
        <w:rPr>
          <w:rFonts w:ascii="宋体" w:hAnsi="宋体"/>
          <w:lang w:eastAsia="zh-CN"/>
        </w:rPr>
        <w:t>8. 对档案或 Pareto 精英解执行 VNS 局部搜索；</w:t>
      </w:r>
    </w:p>
    <w:p w14:paraId="74AC215C" w14:textId="77777777" w:rsidR="00721AE4" w:rsidRDefault="00000000">
      <w:pPr>
        <w:spacing w:line="360" w:lineRule="auto"/>
        <w:ind w:firstLine="480"/>
        <w:rPr>
          <w:lang w:eastAsia="zh-CN"/>
        </w:rPr>
      </w:pPr>
      <w:r>
        <w:rPr>
          <w:rFonts w:ascii="宋体" w:hAnsi="宋体"/>
          <w:lang w:eastAsia="zh-CN"/>
        </w:rPr>
        <w:t>9. 若扰动导致档案质量退化超过阈值，则启动 safeguard 回滚；</w:t>
      </w:r>
    </w:p>
    <w:p w14:paraId="0A88BB2A" w14:textId="77777777" w:rsidR="00721AE4" w:rsidRDefault="00000000">
      <w:pPr>
        <w:spacing w:line="360" w:lineRule="auto"/>
        <w:ind w:firstLine="480"/>
        <w:rPr>
          <w:lang w:eastAsia="zh-CN"/>
        </w:rPr>
      </w:pPr>
      <w:r>
        <w:rPr>
          <w:rFonts w:ascii="宋体" w:hAnsi="宋体"/>
          <w:lang w:eastAsia="zh-CN"/>
        </w:rPr>
        <w:t>10. 判断是否达到最大迭代次数，若未达到则返回步骤 4；否则输出 Pareto 解集和 TOPSIS 折中解。</w:t>
      </w:r>
    </w:p>
    <w:p w14:paraId="3A80EDBC" w14:textId="77777777" w:rsidR="00721AE4" w:rsidRDefault="00000000">
      <w:pPr>
        <w:spacing w:line="360" w:lineRule="auto"/>
        <w:ind w:firstLine="480"/>
        <w:rPr>
          <w:lang w:eastAsia="zh-CN"/>
        </w:rPr>
      </w:pPr>
      <w:r>
        <w:rPr>
          <w:rFonts w:ascii="宋体" w:hAnsi="宋体"/>
          <w:lang w:eastAsia="zh-CN"/>
        </w:rPr>
        <w:t>设种群规模为 N，最大迭代次数为 G，目标函数数量为 M，候选转运点数量为 |K|，需求点数量为 |J|，物流园区数量为 |I|。NSGA-II 快速非支配排序的典型复杂度为 O(MN²)，个体评价需要对 |I||J| 个货流单元及候选转运点分配关系进行计算，约束修复和容量校验则与候选转运点数、线路数和班次数相关。若每次 VNS 作用于 E 个精英解、每个精英解尝试 B 类邻域，则局部搜索额外复杂度可近似表示为 O(EB·C_eval)，其中 C_eval 为单个解的修复与评价成本。因此，算法总体复杂度可概括为：</w:t>
      </w:r>
    </w:p>
    <w:p w14:paraId="7F2D16F7" w14:textId="77777777" w:rsidR="00721AE4" w:rsidRDefault="00000000">
      <w:pPr>
        <w:spacing w:line="360" w:lineRule="auto"/>
        <w:ind w:firstLine="480"/>
        <w:jc w:val="center"/>
        <w:rPr>
          <w:lang w:eastAsia="zh-CN"/>
        </w:rPr>
      </w:pPr>
      <w:r>
        <w:rPr>
          <w:rFonts w:ascii="Cambria Math" w:eastAsia="Cambria Math" w:hAnsi="Cambria Math"/>
          <w:lang w:eastAsia="zh-CN"/>
        </w:rPr>
        <w:t>O(G(MN² + N·C_eval + EB·C_eval))</w:t>
      </w:r>
    </w:p>
    <w:p w14:paraId="7FD7017B" w14:textId="77777777" w:rsidR="00721AE4" w:rsidRDefault="00000000">
      <w:pPr>
        <w:spacing w:line="360" w:lineRule="auto"/>
        <w:ind w:firstLine="480"/>
        <w:rPr>
          <w:lang w:eastAsia="zh-CN"/>
        </w:rPr>
      </w:pPr>
      <w:r>
        <w:rPr>
          <w:rFonts w:ascii="宋体" w:hAnsi="宋体"/>
          <w:lang w:eastAsia="zh-CN"/>
        </w:rPr>
        <w:t>其中，MN² 对应非支配排序，N·C_eval 对应种群个体评价与约束修复，EB·C_eval 对应 VNS 精英局部搜索。C_eval 受需求点规模、候选站点数量、线路关联矩阵和班次装载校验共同影响；外部档案维护和 safeguard 回滚机制的相对开销可并入评价、排序与档案更新过程。本文通过限制 VNS 精英数量、邻域尝试次数和外部档案规模控制计算开销，使算法能够在保证搜索质量的同时满足第五章实证求解需求。</w:t>
      </w:r>
    </w:p>
    <w:p w14:paraId="7660C058" w14:textId="77777777" w:rsidR="00721AE4" w:rsidRDefault="00000000">
      <w:pPr>
        <w:spacing w:line="360" w:lineRule="auto"/>
        <w:ind w:firstLine="480"/>
        <w:rPr>
          <w:lang w:eastAsia="zh-CN"/>
        </w:rPr>
      </w:pPr>
      <w:r>
        <w:rPr>
          <w:rFonts w:ascii="宋体" w:hAnsi="宋体"/>
          <w:b/>
        </w:rPr>
        <w:t>（2）Pareto 解集输出与 TOPSIS 折中方案选择</w:t>
      </w:r>
    </w:p>
    <w:p w14:paraId="78BFE920" w14:textId="77777777" w:rsidR="00721AE4" w:rsidRDefault="00000000">
      <w:pPr>
        <w:spacing w:line="360" w:lineRule="auto"/>
        <w:ind w:firstLine="480"/>
        <w:rPr>
          <w:lang w:eastAsia="zh-CN"/>
        </w:rPr>
      </w:pPr>
      <w:r>
        <w:rPr>
          <w:rFonts w:ascii="宋体" w:hAnsi="宋体"/>
          <w:lang w:eastAsia="zh-CN"/>
        </w:rPr>
        <w:t>QVNS-NSGA-II 输出的是一组非支配解，而不是单一最优解。为从 Pareto 解集中选取便于方案解释的代表性方案，本文采用 TOPSIS 方法计算各非支配解相对于正理想解和负理想解的贴近度。对于综合成本目标，数值越小越优；对于地铁服务比例目标，数值越</w:t>
      </w:r>
      <w:r>
        <w:rPr>
          <w:rFonts w:ascii="宋体" w:hAnsi="宋体"/>
          <w:lang w:eastAsia="zh-CN"/>
        </w:rPr>
        <w:lastRenderedPageBreak/>
        <w:t>大越优。经标准化处理后，计算每个解到正理想解和负理想解的欧氏距离，并以贴近度最大的解作为折中方案。第五章将进一步分析该折中方案的转运点布局、货流分配、成本构成、服务比例和线路负载情况。</w:t>
      </w:r>
    </w:p>
    <w:p w14:paraId="755F65E3" w14:textId="77777777" w:rsidR="00721AE4" w:rsidRDefault="00000000">
      <w:pPr>
        <w:pStyle w:val="21"/>
        <w:rPr>
          <w:lang w:eastAsia="zh-CN"/>
        </w:rPr>
      </w:pPr>
      <w:r>
        <w:rPr>
          <w:rFonts w:ascii="黑体" w:eastAsia="黑体" w:hAnsi="黑体"/>
        </w:rPr>
        <w:t>4.5 本章小结</w:t>
      </w:r>
    </w:p>
    <w:p w14:paraId="67D499A4" w14:textId="77777777" w:rsidR="00721AE4" w:rsidRDefault="00000000">
      <w:pPr>
        <w:spacing w:line="360" w:lineRule="auto"/>
        <w:ind w:firstLine="480"/>
        <w:rPr>
          <w:lang w:eastAsia="zh-CN"/>
        </w:rPr>
      </w:pPr>
      <w:r>
        <w:rPr>
          <w:rFonts w:ascii="宋体" w:hAnsi="宋体"/>
          <w:lang w:eastAsia="zh-CN"/>
        </w:rPr>
        <w:t>本章围绕超大城市中心城区地铁物流配送转运点布局优化问题，构建了无预算约束下的双目标选址—分配模型。模型以综合成本最小化和地铁服务比例最大化为目标，综合考虑 4 km 末端接驳服务边界、最大换乘次数、转运点容量及负载率、每条线路最多转运点数量、转运点最小间距、平峰期列车班次容量和碳成本等约束。与固定开设数量或固定预算模型不同，本文将固定启用成本纳入综合成本目标函数，由算法在成本—服务比例权衡过程中自主搜索转运点数量和布局方案。</w:t>
      </w:r>
    </w:p>
    <w:p w14:paraId="6217233C" w14:textId="4507ED63" w:rsidR="00721AE4" w:rsidRPr="00CB0874" w:rsidRDefault="00000000">
      <w:pPr>
        <w:spacing w:line="300" w:lineRule="auto"/>
        <w:ind w:firstLine="420"/>
        <w:jc w:val="both"/>
        <w:rPr>
          <w:rFonts w:ascii="宋体" w:hAnsi="宋体" w:hint="eastAsia"/>
          <w:lang w:eastAsia="zh-CN"/>
        </w:rPr>
      </w:pPr>
      <w:r w:rsidRPr="00CB0874">
        <w:rPr>
          <w:rFonts w:ascii="宋体" w:hAnsi="宋体"/>
          <w:lang w:eastAsia="zh-CN"/>
        </w:rPr>
        <w:t>针对模型组合复杂度高、约束类型多和目标冲突明显的特点，本章进一步设计了 QVNS-NSGA-II 混合多目标算法。该算法以 NSGA-II 为全局搜索框架，通过外部档案保存历史非支配解，利用 VNS 对精英解进行局部改进，并引入 Q-learning 自适应调节搜索扰动动作。同时，算法设置边界解保留、档案精英反馈和 safeguard 回滚机制，以增强 Pareto 前沿质量、分布多样性和搜索稳定性。最终实证采用的 QVNS-</w:t>
      </w:r>
      <w:r w:rsidR="00CB0874" w:rsidRPr="00CB0874">
        <w:rPr>
          <w:rFonts w:ascii="宋体" w:hAnsi="宋体" w:hint="eastAsia"/>
          <w:lang w:eastAsia="zh-CN"/>
        </w:rPr>
        <w:t>NSGA-</w:t>
      </w:r>
      <w:r w:rsidR="00CB0874">
        <w:rPr>
          <w:rFonts w:ascii="宋体" w:hAnsi="宋体"/>
          <w:lang w:eastAsia="zh-CN"/>
        </w:rPr>
        <w:t>II</w:t>
      </w:r>
      <w:r w:rsidRPr="00CB0874">
        <w:rPr>
          <w:rFonts w:ascii="宋体" w:hAnsi="宋体"/>
          <w:lang w:eastAsia="zh-CN"/>
        </w:rPr>
        <w:t>参数已在表 4-6 中给出。</w:t>
      </w:r>
    </w:p>
    <w:p w14:paraId="2CAF9BE6" w14:textId="77777777" w:rsidR="00721AE4" w:rsidRPr="00CB0874" w:rsidRDefault="00000000">
      <w:pPr>
        <w:spacing w:line="300" w:lineRule="auto"/>
        <w:ind w:firstLine="420"/>
        <w:jc w:val="both"/>
        <w:rPr>
          <w:rFonts w:ascii="宋体" w:hAnsi="宋体" w:hint="eastAsia"/>
          <w:lang w:eastAsia="zh-CN"/>
        </w:rPr>
      </w:pPr>
      <w:r w:rsidRPr="00CB0874">
        <w:rPr>
          <w:rFonts w:ascii="宋体" w:hAnsi="宋体"/>
          <w:lang w:eastAsia="zh-CN"/>
        </w:rPr>
        <w:t>本章所构建的模型与算法为第五章成都市武侯区实证研究提供了方法基础。第五章将在本章模型和算法基础上，结合实际候选站点、顺丰需求点、地铁路径矩阵、列车容量参数和成本参数，开展转运点布局优化、地铁联运与全公路基准对比、算法消融实验和典型多目标算法比较。</w:t>
      </w:r>
    </w:p>
    <w:p w14:paraId="67FC9DFE" w14:textId="77777777" w:rsidR="001C3851" w:rsidRDefault="001C3851">
      <w:pPr>
        <w:rPr>
          <w:lang w:eastAsia="zh-CN"/>
        </w:rPr>
      </w:pPr>
    </w:p>
    <w:p w14:paraId="61461880" w14:textId="77777777" w:rsidR="001C3851" w:rsidRDefault="001C3851">
      <w:pPr>
        <w:rPr>
          <w:lang w:eastAsia="zh-CN"/>
        </w:rPr>
      </w:pPr>
    </w:p>
    <w:p w14:paraId="5926D0AC" w14:textId="77777777" w:rsidR="001C3851" w:rsidRDefault="001C3851">
      <w:pPr>
        <w:rPr>
          <w:lang w:eastAsia="zh-CN"/>
        </w:rPr>
      </w:pPr>
    </w:p>
    <w:p w14:paraId="41203F16" w14:textId="77777777" w:rsidR="001C3851" w:rsidRDefault="001C3851">
      <w:pPr>
        <w:rPr>
          <w:lang w:eastAsia="zh-CN"/>
        </w:rPr>
      </w:pPr>
    </w:p>
    <w:p w14:paraId="0D20F85A" w14:textId="77777777" w:rsidR="001C3851" w:rsidRDefault="001C3851">
      <w:pPr>
        <w:rPr>
          <w:lang w:eastAsia="zh-CN"/>
        </w:rPr>
      </w:pPr>
    </w:p>
    <w:p w14:paraId="44E44181" w14:textId="77777777" w:rsidR="001C3851" w:rsidRDefault="001C3851">
      <w:pPr>
        <w:rPr>
          <w:lang w:eastAsia="zh-CN"/>
        </w:rPr>
      </w:pPr>
    </w:p>
    <w:p w14:paraId="25520EC8" w14:textId="77777777" w:rsidR="001C3851" w:rsidRDefault="001C3851">
      <w:pPr>
        <w:rPr>
          <w:lang w:eastAsia="zh-CN"/>
        </w:rPr>
      </w:pPr>
    </w:p>
    <w:p w14:paraId="580DD337" w14:textId="774F8E2F" w:rsidR="001C3851" w:rsidRDefault="00000000">
      <w:pPr>
        <w:jc w:val="center"/>
        <w:rPr>
          <w:lang w:eastAsia="zh-CN"/>
        </w:rPr>
      </w:pPr>
      <w:r>
        <w:rPr>
          <w:rFonts w:ascii="宋体" w:hAnsi="宋体"/>
          <w:sz w:val="18"/>
          <w:lang w:eastAsia="zh-CN"/>
        </w:rPr>
        <w:lastRenderedPageBreak/>
        <w:t>表 4-6 QVNS-Q1</w:t>
      </w:r>
      <w:r w:rsidR="00CB0874">
        <w:rPr>
          <w:rFonts w:ascii="宋体" w:hAnsi="宋体" w:hint="eastAsia"/>
          <w:sz w:val="18"/>
          <w:lang w:eastAsia="zh-CN"/>
        </w:rPr>
        <w:t>0</w:t>
      </w:r>
      <w:r>
        <w:rPr>
          <w:rFonts w:ascii="宋体" w:hAnsi="宋体"/>
          <w:sz w:val="18"/>
          <w:lang w:eastAsia="zh-CN"/>
        </w:rPr>
        <w:t>最终参数设置</w:t>
      </w:r>
    </w:p>
    <w:tbl>
      <w:tblPr>
        <w:tblStyle w:val="aff1"/>
        <w:tblW w:w="0" w:type="auto"/>
        <w:jc w:val="center"/>
        <w:tblLook w:val="04A0" w:firstRow="1" w:lastRow="0" w:firstColumn="1" w:lastColumn="0" w:noHBand="0" w:noVBand="1"/>
      </w:tblPr>
      <w:tblGrid>
        <w:gridCol w:w="4680"/>
        <w:gridCol w:w="4680"/>
      </w:tblGrid>
      <w:tr w:rsidR="001C3851" w14:paraId="581A047E" w14:textId="77777777">
        <w:trPr>
          <w:jc w:val="center"/>
        </w:trPr>
        <w:tc>
          <w:tcPr>
            <w:tcW w:w="4680" w:type="dxa"/>
            <w:vAlign w:val="center"/>
          </w:tcPr>
          <w:p w14:paraId="256CC68A" w14:textId="77777777" w:rsidR="001C3851" w:rsidRPr="00546BD3" w:rsidRDefault="00000000">
            <w:pPr>
              <w:jc w:val="center"/>
              <w:rPr>
                <w:sz w:val="21"/>
                <w:szCs w:val="21"/>
              </w:rPr>
            </w:pPr>
            <w:r w:rsidRPr="00546BD3">
              <w:rPr>
                <w:rFonts w:ascii="宋体" w:hAnsi="宋体"/>
                <w:b/>
                <w:sz w:val="21"/>
                <w:szCs w:val="21"/>
              </w:rPr>
              <w:t>参数</w:t>
            </w:r>
          </w:p>
        </w:tc>
        <w:tc>
          <w:tcPr>
            <w:tcW w:w="4680" w:type="dxa"/>
            <w:vAlign w:val="center"/>
          </w:tcPr>
          <w:p w14:paraId="590962A4" w14:textId="77777777" w:rsidR="001C3851" w:rsidRPr="00546BD3" w:rsidRDefault="00000000">
            <w:pPr>
              <w:jc w:val="center"/>
              <w:rPr>
                <w:sz w:val="21"/>
                <w:szCs w:val="21"/>
              </w:rPr>
            </w:pPr>
            <w:r w:rsidRPr="00546BD3">
              <w:rPr>
                <w:rFonts w:ascii="宋体" w:hAnsi="宋体"/>
                <w:b/>
                <w:sz w:val="21"/>
                <w:szCs w:val="21"/>
              </w:rPr>
              <w:t>取值</w:t>
            </w:r>
          </w:p>
        </w:tc>
      </w:tr>
      <w:tr w:rsidR="001C3851" w14:paraId="050BC0F0" w14:textId="77777777">
        <w:trPr>
          <w:jc w:val="center"/>
        </w:trPr>
        <w:tc>
          <w:tcPr>
            <w:tcW w:w="4680" w:type="dxa"/>
            <w:vAlign w:val="center"/>
          </w:tcPr>
          <w:p w14:paraId="792B4A95" w14:textId="77777777" w:rsidR="001C3851" w:rsidRPr="00546BD3" w:rsidRDefault="00000000">
            <w:pPr>
              <w:jc w:val="center"/>
              <w:rPr>
                <w:sz w:val="21"/>
                <w:szCs w:val="21"/>
              </w:rPr>
            </w:pPr>
            <w:r w:rsidRPr="00546BD3">
              <w:rPr>
                <w:rFonts w:ascii="宋体" w:hAnsi="宋体"/>
                <w:sz w:val="21"/>
                <w:szCs w:val="21"/>
              </w:rPr>
              <w:t>种群规模</w:t>
            </w:r>
          </w:p>
        </w:tc>
        <w:tc>
          <w:tcPr>
            <w:tcW w:w="4680" w:type="dxa"/>
            <w:vAlign w:val="center"/>
          </w:tcPr>
          <w:p w14:paraId="0CD93D27" w14:textId="77777777" w:rsidR="001C3851" w:rsidRPr="00546BD3" w:rsidRDefault="00000000">
            <w:pPr>
              <w:jc w:val="center"/>
              <w:rPr>
                <w:sz w:val="21"/>
                <w:szCs w:val="21"/>
              </w:rPr>
            </w:pPr>
            <w:r w:rsidRPr="00546BD3">
              <w:rPr>
                <w:rFonts w:ascii="宋体" w:hAnsi="宋体"/>
                <w:sz w:val="21"/>
                <w:szCs w:val="21"/>
              </w:rPr>
              <w:t>100</w:t>
            </w:r>
          </w:p>
        </w:tc>
      </w:tr>
      <w:tr w:rsidR="001C3851" w14:paraId="516B0C13" w14:textId="77777777">
        <w:trPr>
          <w:jc w:val="center"/>
        </w:trPr>
        <w:tc>
          <w:tcPr>
            <w:tcW w:w="4680" w:type="dxa"/>
            <w:vAlign w:val="center"/>
          </w:tcPr>
          <w:p w14:paraId="2EF55A68" w14:textId="77777777" w:rsidR="001C3851" w:rsidRPr="00546BD3" w:rsidRDefault="00000000">
            <w:pPr>
              <w:jc w:val="center"/>
              <w:rPr>
                <w:sz w:val="21"/>
                <w:szCs w:val="21"/>
              </w:rPr>
            </w:pPr>
            <w:r w:rsidRPr="00546BD3">
              <w:rPr>
                <w:rFonts w:ascii="宋体" w:hAnsi="宋体"/>
                <w:sz w:val="21"/>
                <w:szCs w:val="21"/>
              </w:rPr>
              <w:t>最大迭代次数</w:t>
            </w:r>
          </w:p>
        </w:tc>
        <w:tc>
          <w:tcPr>
            <w:tcW w:w="4680" w:type="dxa"/>
            <w:vAlign w:val="center"/>
          </w:tcPr>
          <w:p w14:paraId="159A097F" w14:textId="77777777" w:rsidR="001C3851" w:rsidRPr="00546BD3" w:rsidRDefault="00000000">
            <w:pPr>
              <w:jc w:val="center"/>
              <w:rPr>
                <w:sz w:val="21"/>
                <w:szCs w:val="21"/>
              </w:rPr>
            </w:pPr>
            <w:r w:rsidRPr="00546BD3">
              <w:rPr>
                <w:rFonts w:ascii="宋体" w:hAnsi="宋体"/>
                <w:sz w:val="21"/>
                <w:szCs w:val="21"/>
              </w:rPr>
              <w:t>300</w:t>
            </w:r>
          </w:p>
        </w:tc>
      </w:tr>
      <w:tr w:rsidR="001C3851" w14:paraId="5BC1D5B0" w14:textId="77777777">
        <w:trPr>
          <w:jc w:val="center"/>
        </w:trPr>
        <w:tc>
          <w:tcPr>
            <w:tcW w:w="4680" w:type="dxa"/>
            <w:vAlign w:val="center"/>
          </w:tcPr>
          <w:p w14:paraId="12BB24EC" w14:textId="77777777" w:rsidR="001C3851" w:rsidRPr="00546BD3" w:rsidRDefault="00000000">
            <w:pPr>
              <w:jc w:val="center"/>
              <w:rPr>
                <w:sz w:val="21"/>
                <w:szCs w:val="21"/>
              </w:rPr>
            </w:pPr>
            <w:r w:rsidRPr="00546BD3">
              <w:rPr>
                <w:rFonts w:ascii="宋体" w:hAnsi="宋体"/>
                <w:sz w:val="21"/>
                <w:szCs w:val="21"/>
              </w:rPr>
              <w:t>学习率 alpha</w:t>
            </w:r>
          </w:p>
        </w:tc>
        <w:tc>
          <w:tcPr>
            <w:tcW w:w="4680" w:type="dxa"/>
            <w:vAlign w:val="center"/>
          </w:tcPr>
          <w:p w14:paraId="30843A6B" w14:textId="77777777" w:rsidR="001C3851" w:rsidRPr="00546BD3" w:rsidRDefault="00000000">
            <w:pPr>
              <w:jc w:val="center"/>
              <w:rPr>
                <w:sz w:val="21"/>
                <w:szCs w:val="21"/>
              </w:rPr>
            </w:pPr>
            <w:r w:rsidRPr="00546BD3">
              <w:rPr>
                <w:rFonts w:ascii="宋体" w:hAnsi="宋体"/>
                <w:sz w:val="21"/>
                <w:szCs w:val="21"/>
              </w:rPr>
              <w:t>0.15</w:t>
            </w:r>
          </w:p>
        </w:tc>
      </w:tr>
      <w:tr w:rsidR="001C3851" w14:paraId="0CBD7F37" w14:textId="77777777">
        <w:trPr>
          <w:jc w:val="center"/>
        </w:trPr>
        <w:tc>
          <w:tcPr>
            <w:tcW w:w="4680" w:type="dxa"/>
            <w:vAlign w:val="center"/>
          </w:tcPr>
          <w:p w14:paraId="362FB155" w14:textId="77777777" w:rsidR="001C3851" w:rsidRPr="00546BD3" w:rsidRDefault="00000000">
            <w:pPr>
              <w:jc w:val="center"/>
              <w:rPr>
                <w:sz w:val="21"/>
                <w:szCs w:val="21"/>
              </w:rPr>
            </w:pPr>
            <w:r w:rsidRPr="00546BD3">
              <w:rPr>
                <w:rFonts w:ascii="宋体" w:hAnsi="宋体"/>
                <w:sz w:val="21"/>
                <w:szCs w:val="21"/>
              </w:rPr>
              <w:t>折扣因子 gamma</w:t>
            </w:r>
          </w:p>
        </w:tc>
        <w:tc>
          <w:tcPr>
            <w:tcW w:w="4680" w:type="dxa"/>
            <w:vAlign w:val="center"/>
          </w:tcPr>
          <w:p w14:paraId="5EB2CF09" w14:textId="77777777" w:rsidR="001C3851" w:rsidRPr="00546BD3" w:rsidRDefault="00000000">
            <w:pPr>
              <w:jc w:val="center"/>
              <w:rPr>
                <w:sz w:val="21"/>
                <w:szCs w:val="21"/>
              </w:rPr>
            </w:pPr>
            <w:r w:rsidRPr="00546BD3">
              <w:rPr>
                <w:rFonts w:ascii="宋体" w:hAnsi="宋体"/>
                <w:sz w:val="21"/>
                <w:szCs w:val="21"/>
              </w:rPr>
              <w:t>0.88</w:t>
            </w:r>
          </w:p>
        </w:tc>
      </w:tr>
      <w:tr w:rsidR="001C3851" w14:paraId="57970E13" w14:textId="77777777">
        <w:trPr>
          <w:jc w:val="center"/>
        </w:trPr>
        <w:tc>
          <w:tcPr>
            <w:tcW w:w="4680" w:type="dxa"/>
            <w:vAlign w:val="center"/>
          </w:tcPr>
          <w:p w14:paraId="5CC60685" w14:textId="77777777" w:rsidR="001C3851" w:rsidRPr="00546BD3" w:rsidRDefault="00000000">
            <w:pPr>
              <w:jc w:val="center"/>
              <w:rPr>
                <w:sz w:val="21"/>
                <w:szCs w:val="21"/>
              </w:rPr>
            </w:pPr>
            <w:r w:rsidRPr="00546BD3">
              <w:rPr>
                <w:rFonts w:ascii="宋体" w:hAnsi="宋体"/>
                <w:sz w:val="21"/>
                <w:szCs w:val="21"/>
              </w:rPr>
              <w:t>初始探索率 epsilon</w:t>
            </w:r>
          </w:p>
        </w:tc>
        <w:tc>
          <w:tcPr>
            <w:tcW w:w="4680" w:type="dxa"/>
            <w:vAlign w:val="center"/>
          </w:tcPr>
          <w:p w14:paraId="33F4F63B" w14:textId="77777777" w:rsidR="001C3851" w:rsidRPr="00546BD3" w:rsidRDefault="00000000">
            <w:pPr>
              <w:jc w:val="center"/>
              <w:rPr>
                <w:sz w:val="21"/>
                <w:szCs w:val="21"/>
              </w:rPr>
            </w:pPr>
            <w:r w:rsidRPr="00546BD3">
              <w:rPr>
                <w:rFonts w:ascii="宋体" w:hAnsi="宋体"/>
                <w:sz w:val="21"/>
                <w:szCs w:val="21"/>
              </w:rPr>
              <w:t>0.30</w:t>
            </w:r>
          </w:p>
        </w:tc>
      </w:tr>
      <w:tr w:rsidR="001C3851" w14:paraId="39FC34B9" w14:textId="77777777">
        <w:trPr>
          <w:jc w:val="center"/>
        </w:trPr>
        <w:tc>
          <w:tcPr>
            <w:tcW w:w="4680" w:type="dxa"/>
            <w:vAlign w:val="center"/>
          </w:tcPr>
          <w:p w14:paraId="5903C42B" w14:textId="77777777" w:rsidR="001C3851" w:rsidRPr="00546BD3" w:rsidRDefault="00000000">
            <w:pPr>
              <w:jc w:val="center"/>
              <w:rPr>
                <w:sz w:val="21"/>
                <w:szCs w:val="21"/>
              </w:rPr>
            </w:pPr>
            <w:r w:rsidRPr="00546BD3">
              <w:rPr>
                <w:rFonts w:ascii="宋体" w:hAnsi="宋体"/>
                <w:sz w:val="21"/>
                <w:szCs w:val="21"/>
              </w:rPr>
              <w:t>最小探索率 epsilon_min</w:t>
            </w:r>
          </w:p>
        </w:tc>
        <w:tc>
          <w:tcPr>
            <w:tcW w:w="4680" w:type="dxa"/>
            <w:vAlign w:val="center"/>
          </w:tcPr>
          <w:p w14:paraId="00899A97" w14:textId="77777777" w:rsidR="001C3851" w:rsidRPr="00546BD3" w:rsidRDefault="00000000">
            <w:pPr>
              <w:jc w:val="center"/>
              <w:rPr>
                <w:sz w:val="21"/>
                <w:szCs w:val="21"/>
              </w:rPr>
            </w:pPr>
            <w:r w:rsidRPr="00546BD3">
              <w:rPr>
                <w:rFonts w:ascii="宋体" w:hAnsi="宋体"/>
                <w:sz w:val="21"/>
                <w:szCs w:val="21"/>
              </w:rPr>
              <w:t>0.010</w:t>
            </w:r>
          </w:p>
        </w:tc>
      </w:tr>
      <w:tr w:rsidR="001C3851" w14:paraId="7DC62FD2" w14:textId="77777777">
        <w:trPr>
          <w:jc w:val="center"/>
        </w:trPr>
        <w:tc>
          <w:tcPr>
            <w:tcW w:w="4680" w:type="dxa"/>
            <w:vAlign w:val="center"/>
          </w:tcPr>
          <w:p w14:paraId="1B7F7AF2" w14:textId="77777777" w:rsidR="001C3851" w:rsidRPr="00546BD3" w:rsidRDefault="00000000">
            <w:pPr>
              <w:jc w:val="center"/>
              <w:rPr>
                <w:sz w:val="21"/>
                <w:szCs w:val="21"/>
              </w:rPr>
            </w:pPr>
            <w:r w:rsidRPr="00546BD3">
              <w:rPr>
                <w:rFonts w:ascii="宋体" w:hAnsi="宋体"/>
                <w:sz w:val="21"/>
                <w:szCs w:val="21"/>
              </w:rPr>
              <w:t>Q-learning 动作作用比例</w:t>
            </w:r>
          </w:p>
        </w:tc>
        <w:tc>
          <w:tcPr>
            <w:tcW w:w="4680" w:type="dxa"/>
            <w:vAlign w:val="center"/>
          </w:tcPr>
          <w:p w14:paraId="049C5DC6" w14:textId="77777777" w:rsidR="001C3851" w:rsidRPr="00546BD3" w:rsidRDefault="00000000">
            <w:pPr>
              <w:jc w:val="center"/>
              <w:rPr>
                <w:sz w:val="21"/>
                <w:szCs w:val="21"/>
              </w:rPr>
            </w:pPr>
            <w:r w:rsidRPr="00546BD3">
              <w:rPr>
                <w:rFonts w:ascii="宋体" w:hAnsi="宋体"/>
                <w:sz w:val="21"/>
                <w:szCs w:val="21"/>
              </w:rPr>
              <w:t>0.25</w:t>
            </w:r>
          </w:p>
        </w:tc>
      </w:tr>
      <w:tr w:rsidR="001C3851" w14:paraId="0EDB2994" w14:textId="77777777">
        <w:trPr>
          <w:jc w:val="center"/>
        </w:trPr>
        <w:tc>
          <w:tcPr>
            <w:tcW w:w="4680" w:type="dxa"/>
            <w:vAlign w:val="center"/>
          </w:tcPr>
          <w:p w14:paraId="372582A7" w14:textId="77777777" w:rsidR="001C3851" w:rsidRPr="00546BD3" w:rsidRDefault="00000000">
            <w:pPr>
              <w:jc w:val="center"/>
              <w:rPr>
                <w:sz w:val="21"/>
                <w:szCs w:val="21"/>
              </w:rPr>
            </w:pPr>
            <w:r w:rsidRPr="00546BD3">
              <w:rPr>
                <w:rFonts w:ascii="宋体" w:hAnsi="宋体"/>
                <w:sz w:val="21"/>
                <w:szCs w:val="21"/>
              </w:rPr>
              <w:t>外部档案规模</w:t>
            </w:r>
          </w:p>
        </w:tc>
        <w:tc>
          <w:tcPr>
            <w:tcW w:w="4680" w:type="dxa"/>
            <w:vAlign w:val="center"/>
          </w:tcPr>
          <w:p w14:paraId="351201C8" w14:textId="77777777" w:rsidR="001C3851" w:rsidRPr="00546BD3" w:rsidRDefault="00000000">
            <w:pPr>
              <w:jc w:val="center"/>
              <w:rPr>
                <w:sz w:val="21"/>
                <w:szCs w:val="21"/>
              </w:rPr>
            </w:pPr>
            <w:r w:rsidRPr="00546BD3">
              <w:rPr>
                <w:rFonts w:ascii="宋体" w:hAnsi="宋体"/>
                <w:sz w:val="21"/>
                <w:szCs w:val="21"/>
              </w:rPr>
              <w:t>round(2.5P)，P 为种群规模</w:t>
            </w:r>
          </w:p>
        </w:tc>
      </w:tr>
      <w:tr w:rsidR="001C3851" w14:paraId="72B0A10F" w14:textId="77777777">
        <w:trPr>
          <w:jc w:val="center"/>
        </w:trPr>
        <w:tc>
          <w:tcPr>
            <w:tcW w:w="4680" w:type="dxa"/>
            <w:vAlign w:val="center"/>
          </w:tcPr>
          <w:p w14:paraId="08D6D707" w14:textId="77777777" w:rsidR="001C3851" w:rsidRPr="00546BD3" w:rsidRDefault="00000000">
            <w:pPr>
              <w:jc w:val="center"/>
              <w:rPr>
                <w:sz w:val="21"/>
                <w:szCs w:val="21"/>
              </w:rPr>
            </w:pPr>
            <w:r w:rsidRPr="00546BD3">
              <w:rPr>
                <w:rFonts w:ascii="宋体" w:hAnsi="宋体"/>
                <w:sz w:val="21"/>
                <w:szCs w:val="21"/>
              </w:rPr>
              <w:t>VNS 模式</w:t>
            </w:r>
          </w:p>
        </w:tc>
        <w:tc>
          <w:tcPr>
            <w:tcW w:w="4680" w:type="dxa"/>
            <w:vAlign w:val="center"/>
          </w:tcPr>
          <w:p w14:paraId="3503ED3A" w14:textId="77777777" w:rsidR="001C3851" w:rsidRPr="00546BD3" w:rsidRDefault="00000000">
            <w:pPr>
              <w:jc w:val="center"/>
              <w:rPr>
                <w:sz w:val="21"/>
                <w:szCs w:val="21"/>
              </w:rPr>
            </w:pPr>
            <w:r w:rsidRPr="00546BD3">
              <w:rPr>
                <w:rFonts w:ascii="宋体" w:hAnsi="宋体"/>
                <w:sz w:val="21"/>
                <w:szCs w:val="21"/>
              </w:rPr>
              <w:t>自适应触发</w:t>
            </w:r>
          </w:p>
        </w:tc>
      </w:tr>
      <w:tr w:rsidR="001C3851" w14:paraId="1B658F86" w14:textId="77777777">
        <w:trPr>
          <w:jc w:val="center"/>
        </w:trPr>
        <w:tc>
          <w:tcPr>
            <w:tcW w:w="4680" w:type="dxa"/>
            <w:vAlign w:val="center"/>
          </w:tcPr>
          <w:p w14:paraId="7D1FB83A" w14:textId="77777777" w:rsidR="001C3851" w:rsidRPr="00546BD3" w:rsidRDefault="00000000">
            <w:pPr>
              <w:jc w:val="center"/>
              <w:rPr>
                <w:sz w:val="21"/>
                <w:szCs w:val="21"/>
              </w:rPr>
            </w:pPr>
            <w:r w:rsidRPr="00546BD3">
              <w:rPr>
                <w:rFonts w:ascii="宋体" w:hAnsi="宋体"/>
                <w:sz w:val="21"/>
                <w:szCs w:val="21"/>
              </w:rPr>
              <w:t>停滞窗口</w:t>
            </w:r>
          </w:p>
        </w:tc>
        <w:tc>
          <w:tcPr>
            <w:tcW w:w="4680" w:type="dxa"/>
            <w:vAlign w:val="center"/>
          </w:tcPr>
          <w:p w14:paraId="44EB8BF8" w14:textId="77777777" w:rsidR="001C3851" w:rsidRPr="00546BD3" w:rsidRDefault="00000000">
            <w:pPr>
              <w:jc w:val="center"/>
              <w:rPr>
                <w:sz w:val="21"/>
                <w:szCs w:val="21"/>
              </w:rPr>
            </w:pPr>
            <w:r w:rsidRPr="00546BD3">
              <w:rPr>
                <w:rFonts w:ascii="宋体" w:hAnsi="宋体"/>
                <w:sz w:val="21"/>
                <w:szCs w:val="21"/>
              </w:rPr>
              <w:t>10</w:t>
            </w:r>
          </w:p>
        </w:tc>
      </w:tr>
      <w:tr w:rsidR="001C3851" w14:paraId="76852454" w14:textId="77777777">
        <w:trPr>
          <w:jc w:val="center"/>
        </w:trPr>
        <w:tc>
          <w:tcPr>
            <w:tcW w:w="4680" w:type="dxa"/>
            <w:vAlign w:val="center"/>
          </w:tcPr>
          <w:p w14:paraId="223FC6C5" w14:textId="77777777" w:rsidR="001C3851" w:rsidRPr="00546BD3" w:rsidRDefault="00000000">
            <w:pPr>
              <w:jc w:val="center"/>
              <w:rPr>
                <w:sz w:val="21"/>
                <w:szCs w:val="21"/>
              </w:rPr>
            </w:pPr>
            <w:r w:rsidRPr="00546BD3">
              <w:rPr>
                <w:rFonts w:ascii="宋体" w:hAnsi="宋体"/>
                <w:sz w:val="21"/>
                <w:szCs w:val="21"/>
              </w:rPr>
              <w:t>HV 改进阈值</w:t>
            </w:r>
          </w:p>
        </w:tc>
        <w:tc>
          <w:tcPr>
            <w:tcW w:w="4680" w:type="dxa"/>
            <w:vAlign w:val="center"/>
          </w:tcPr>
          <w:p w14:paraId="03B94B29" w14:textId="77777777" w:rsidR="001C3851" w:rsidRPr="00546BD3" w:rsidRDefault="00000000">
            <w:pPr>
              <w:jc w:val="center"/>
              <w:rPr>
                <w:sz w:val="21"/>
                <w:szCs w:val="21"/>
              </w:rPr>
            </w:pPr>
            <w:r w:rsidRPr="00546BD3">
              <w:rPr>
                <w:rFonts w:ascii="宋体" w:hAnsi="宋体"/>
                <w:sz w:val="21"/>
                <w:szCs w:val="21"/>
              </w:rPr>
              <w:t>0.0025</w:t>
            </w:r>
          </w:p>
        </w:tc>
      </w:tr>
      <w:tr w:rsidR="001C3851" w14:paraId="12EAFB7C" w14:textId="77777777">
        <w:trPr>
          <w:jc w:val="center"/>
        </w:trPr>
        <w:tc>
          <w:tcPr>
            <w:tcW w:w="4680" w:type="dxa"/>
            <w:vAlign w:val="center"/>
          </w:tcPr>
          <w:p w14:paraId="6CCFB2CF" w14:textId="77777777" w:rsidR="001C3851" w:rsidRPr="00546BD3" w:rsidRDefault="00000000">
            <w:pPr>
              <w:jc w:val="center"/>
              <w:rPr>
                <w:sz w:val="21"/>
                <w:szCs w:val="21"/>
              </w:rPr>
            </w:pPr>
            <w:r w:rsidRPr="00546BD3">
              <w:rPr>
                <w:rFonts w:ascii="宋体" w:hAnsi="宋体"/>
                <w:sz w:val="21"/>
                <w:szCs w:val="21"/>
              </w:rPr>
              <w:t>最小 VNS 间隔</w:t>
            </w:r>
          </w:p>
        </w:tc>
        <w:tc>
          <w:tcPr>
            <w:tcW w:w="4680" w:type="dxa"/>
            <w:vAlign w:val="center"/>
          </w:tcPr>
          <w:p w14:paraId="770B989F" w14:textId="77777777" w:rsidR="001C3851" w:rsidRPr="00546BD3" w:rsidRDefault="00000000">
            <w:pPr>
              <w:jc w:val="center"/>
              <w:rPr>
                <w:sz w:val="21"/>
                <w:szCs w:val="21"/>
              </w:rPr>
            </w:pPr>
            <w:r w:rsidRPr="00546BD3">
              <w:rPr>
                <w:rFonts w:ascii="宋体" w:hAnsi="宋体"/>
                <w:sz w:val="21"/>
                <w:szCs w:val="21"/>
              </w:rPr>
              <w:t>5 代</w:t>
            </w:r>
          </w:p>
        </w:tc>
      </w:tr>
      <w:tr w:rsidR="001C3851" w14:paraId="5F63ECB4" w14:textId="77777777">
        <w:trPr>
          <w:jc w:val="center"/>
        </w:trPr>
        <w:tc>
          <w:tcPr>
            <w:tcW w:w="4680" w:type="dxa"/>
            <w:vAlign w:val="center"/>
          </w:tcPr>
          <w:p w14:paraId="5BBE70ED" w14:textId="77777777" w:rsidR="001C3851" w:rsidRPr="00546BD3" w:rsidRDefault="00000000">
            <w:pPr>
              <w:jc w:val="center"/>
              <w:rPr>
                <w:sz w:val="21"/>
                <w:szCs w:val="21"/>
              </w:rPr>
            </w:pPr>
            <w:r w:rsidRPr="00546BD3">
              <w:rPr>
                <w:rFonts w:ascii="宋体" w:hAnsi="宋体"/>
                <w:sz w:val="21"/>
                <w:szCs w:val="21"/>
              </w:rPr>
              <w:t>VNS 精英比例</w:t>
            </w:r>
          </w:p>
        </w:tc>
        <w:tc>
          <w:tcPr>
            <w:tcW w:w="4680" w:type="dxa"/>
            <w:vAlign w:val="center"/>
          </w:tcPr>
          <w:p w14:paraId="33FF2CBC" w14:textId="77777777" w:rsidR="001C3851" w:rsidRPr="00546BD3" w:rsidRDefault="00000000">
            <w:pPr>
              <w:jc w:val="center"/>
              <w:rPr>
                <w:sz w:val="21"/>
                <w:szCs w:val="21"/>
              </w:rPr>
            </w:pPr>
            <w:r w:rsidRPr="00546BD3">
              <w:rPr>
                <w:rFonts w:ascii="宋体" w:hAnsi="宋体"/>
                <w:sz w:val="21"/>
                <w:szCs w:val="21"/>
              </w:rPr>
              <w:t>0.12</w:t>
            </w:r>
          </w:p>
        </w:tc>
      </w:tr>
      <w:tr w:rsidR="001C3851" w14:paraId="0C64044C" w14:textId="77777777">
        <w:trPr>
          <w:jc w:val="center"/>
        </w:trPr>
        <w:tc>
          <w:tcPr>
            <w:tcW w:w="4680" w:type="dxa"/>
            <w:vAlign w:val="center"/>
          </w:tcPr>
          <w:p w14:paraId="177CAF60" w14:textId="77777777" w:rsidR="001C3851" w:rsidRPr="00546BD3" w:rsidRDefault="00000000">
            <w:pPr>
              <w:jc w:val="center"/>
              <w:rPr>
                <w:sz w:val="21"/>
                <w:szCs w:val="21"/>
              </w:rPr>
            </w:pPr>
            <w:r w:rsidRPr="00546BD3">
              <w:rPr>
                <w:rFonts w:ascii="宋体" w:hAnsi="宋体"/>
                <w:sz w:val="21"/>
                <w:szCs w:val="21"/>
              </w:rPr>
              <w:t>每邻域尝试次数</w:t>
            </w:r>
          </w:p>
        </w:tc>
        <w:tc>
          <w:tcPr>
            <w:tcW w:w="4680" w:type="dxa"/>
            <w:vAlign w:val="center"/>
          </w:tcPr>
          <w:p w14:paraId="2560C4A0" w14:textId="77777777" w:rsidR="001C3851" w:rsidRPr="00546BD3" w:rsidRDefault="00000000">
            <w:pPr>
              <w:jc w:val="center"/>
              <w:rPr>
                <w:sz w:val="21"/>
                <w:szCs w:val="21"/>
              </w:rPr>
            </w:pPr>
            <w:r w:rsidRPr="00546BD3">
              <w:rPr>
                <w:rFonts w:ascii="宋体" w:hAnsi="宋体"/>
                <w:sz w:val="21"/>
                <w:szCs w:val="21"/>
              </w:rPr>
              <w:t>2</w:t>
            </w:r>
          </w:p>
        </w:tc>
      </w:tr>
      <w:tr w:rsidR="001C3851" w14:paraId="3D54017D" w14:textId="77777777">
        <w:trPr>
          <w:jc w:val="center"/>
        </w:trPr>
        <w:tc>
          <w:tcPr>
            <w:tcW w:w="4680" w:type="dxa"/>
            <w:vAlign w:val="center"/>
          </w:tcPr>
          <w:p w14:paraId="740586BD" w14:textId="77777777" w:rsidR="001C3851" w:rsidRPr="00546BD3" w:rsidRDefault="00000000">
            <w:pPr>
              <w:jc w:val="center"/>
              <w:rPr>
                <w:sz w:val="21"/>
                <w:szCs w:val="21"/>
              </w:rPr>
            </w:pPr>
            <w:r w:rsidRPr="00546BD3">
              <w:rPr>
                <w:rFonts w:ascii="宋体" w:hAnsi="宋体"/>
                <w:sz w:val="21"/>
                <w:szCs w:val="21"/>
              </w:rPr>
              <w:t>最大邻域数</w:t>
            </w:r>
          </w:p>
        </w:tc>
        <w:tc>
          <w:tcPr>
            <w:tcW w:w="4680" w:type="dxa"/>
            <w:vAlign w:val="center"/>
          </w:tcPr>
          <w:p w14:paraId="130EE42B" w14:textId="77777777" w:rsidR="001C3851" w:rsidRPr="00546BD3" w:rsidRDefault="00000000">
            <w:pPr>
              <w:jc w:val="center"/>
              <w:rPr>
                <w:sz w:val="21"/>
                <w:szCs w:val="21"/>
              </w:rPr>
            </w:pPr>
            <w:r w:rsidRPr="00546BD3">
              <w:rPr>
                <w:rFonts w:ascii="宋体" w:hAnsi="宋体"/>
                <w:sz w:val="21"/>
                <w:szCs w:val="21"/>
              </w:rPr>
              <w:t>3</w:t>
            </w:r>
          </w:p>
        </w:tc>
      </w:tr>
      <w:tr w:rsidR="001C3851" w14:paraId="106AB7CD" w14:textId="77777777">
        <w:trPr>
          <w:jc w:val="center"/>
        </w:trPr>
        <w:tc>
          <w:tcPr>
            <w:tcW w:w="4680" w:type="dxa"/>
            <w:vAlign w:val="center"/>
          </w:tcPr>
          <w:p w14:paraId="5AC9F745" w14:textId="77777777" w:rsidR="001C3851" w:rsidRPr="00546BD3" w:rsidRDefault="00000000">
            <w:pPr>
              <w:jc w:val="center"/>
              <w:rPr>
                <w:sz w:val="21"/>
                <w:szCs w:val="21"/>
              </w:rPr>
            </w:pPr>
            <w:r w:rsidRPr="00546BD3">
              <w:rPr>
                <w:rFonts w:ascii="宋体" w:hAnsi="宋体"/>
                <w:sz w:val="21"/>
                <w:szCs w:val="21"/>
              </w:rPr>
              <w:t>档案边界解保留率</w:t>
            </w:r>
          </w:p>
        </w:tc>
        <w:tc>
          <w:tcPr>
            <w:tcW w:w="4680" w:type="dxa"/>
            <w:vAlign w:val="center"/>
          </w:tcPr>
          <w:p w14:paraId="111FEA43" w14:textId="77777777" w:rsidR="001C3851" w:rsidRPr="00546BD3" w:rsidRDefault="00000000">
            <w:pPr>
              <w:jc w:val="center"/>
              <w:rPr>
                <w:sz w:val="21"/>
                <w:szCs w:val="21"/>
              </w:rPr>
            </w:pPr>
            <w:r w:rsidRPr="00546BD3">
              <w:rPr>
                <w:rFonts w:ascii="宋体" w:hAnsi="宋体"/>
                <w:sz w:val="21"/>
                <w:szCs w:val="21"/>
              </w:rPr>
              <w:t>0.20</w:t>
            </w:r>
          </w:p>
        </w:tc>
      </w:tr>
      <w:tr w:rsidR="001C3851" w14:paraId="127BBCFD" w14:textId="77777777">
        <w:trPr>
          <w:jc w:val="center"/>
        </w:trPr>
        <w:tc>
          <w:tcPr>
            <w:tcW w:w="4680" w:type="dxa"/>
            <w:vAlign w:val="center"/>
          </w:tcPr>
          <w:p w14:paraId="6919F46F" w14:textId="77777777" w:rsidR="001C3851" w:rsidRPr="00546BD3" w:rsidRDefault="00000000">
            <w:pPr>
              <w:jc w:val="center"/>
              <w:rPr>
                <w:sz w:val="21"/>
                <w:szCs w:val="21"/>
              </w:rPr>
            </w:pPr>
            <w:r w:rsidRPr="00546BD3">
              <w:rPr>
                <w:rFonts w:ascii="宋体" w:hAnsi="宋体"/>
                <w:sz w:val="21"/>
                <w:szCs w:val="21"/>
              </w:rPr>
              <w:t>safeguard 阈值</w:t>
            </w:r>
          </w:p>
        </w:tc>
        <w:tc>
          <w:tcPr>
            <w:tcW w:w="4680" w:type="dxa"/>
            <w:vAlign w:val="center"/>
          </w:tcPr>
          <w:p w14:paraId="23C332AC" w14:textId="77777777" w:rsidR="001C3851" w:rsidRPr="00546BD3" w:rsidRDefault="00000000">
            <w:pPr>
              <w:jc w:val="center"/>
              <w:rPr>
                <w:sz w:val="21"/>
                <w:szCs w:val="21"/>
              </w:rPr>
            </w:pPr>
            <w:r w:rsidRPr="00546BD3">
              <w:rPr>
                <w:rFonts w:ascii="宋体" w:hAnsi="宋体"/>
                <w:sz w:val="21"/>
                <w:szCs w:val="21"/>
              </w:rPr>
              <w:t>-0.15</w:t>
            </w:r>
          </w:p>
        </w:tc>
      </w:tr>
    </w:tbl>
    <w:p w14:paraId="300DFAD8" w14:textId="1BCF0F64" w:rsidR="001C3851" w:rsidRDefault="00000000">
      <w:pPr>
        <w:spacing w:line="300" w:lineRule="auto"/>
        <w:ind w:firstLine="420"/>
        <w:jc w:val="both"/>
        <w:rPr>
          <w:lang w:eastAsia="zh-CN"/>
        </w:rPr>
      </w:pPr>
      <w:r>
        <w:rPr>
          <w:rFonts w:ascii="宋体" w:hAnsi="宋体"/>
          <w:sz w:val="21"/>
          <w:lang w:eastAsia="zh-CN"/>
        </w:rPr>
        <w:t>该参数设置对应第五章所有主实验、消融实验和经典算法比较中的 QVNS-NSGA-II 求解口径。</w:t>
      </w:r>
    </w:p>
    <w:sectPr w:rsidR="001C3851"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8FC1E" w14:textId="77777777" w:rsidR="0006489B" w:rsidRDefault="0006489B" w:rsidP="006B4534">
      <w:pPr>
        <w:spacing w:after="0" w:line="240" w:lineRule="auto"/>
      </w:pPr>
      <w:r>
        <w:separator/>
      </w:r>
    </w:p>
  </w:endnote>
  <w:endnote w:type="continuationSeparator" w:id="0">
    <w:p w14:paraId="0D20E270" w14:textId="77777777" w:rsidR="0006489B" w:rsidRDefault="0006489B" w:rsidP="006B4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088F4" w14:textId="77777777" w:rsidR="0006489B" w:rsidRDefault="0006489B" w:rsidP="006B4534">
      <w:pPr>
        <w:spacing w:after="0" w:line="240" w:lineRule="auto"/>
      </w:pPr>
      <w:r>
        <w:separator/>
      </w:r>
    </w:p>
  </w:footnote>
  <w:footnote w:type="continuationSeparator" w:id="0">
    <w:p w14:paraId="5504C13F" w14:textId="77777777" w:rsidR="0006489B" w:rsidRDefault="0006489B" w:rsidP="006B45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06962928">
    <w:abstractNumId w:val="8"/>
  </w:num>
  <w:num w:numId="2" w16cid:durableId="1504196651">
    <w:abstractNumId w:val="6"/>
  </w:num>
  <w:num w:numId="3" w16cid:durableId="311568931">
    <w:abstractNumId w:val="5"/>
  </w:num>
  <w:num w:numId="4" w16cid:durableId="928200398">
    <w:abstractNumId w:val="4"/>
  </w:num>
  <w:num w:numId="5" w16cid:durableId="59911025">
    <w:abstractNumId w:val="7"/>
  </w:num>
  <w:num w:numId="6" w16cid:durableId="381826538">
    <w:abstractNumId w:val="3"/>
  </w:num>
  <w:num w:numId="7" w16cid:durableId="1464694202">
    <w:abstractNumId w:val="2"/>
  </w:num>
  <w:num w:numId="8" w16cid:durableId="842009141">
    <w:abstractNumId w:val="1"/>
  </w:num>
  <w:num w:numId="9" w16cid:durableId="1384134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89B"/>
    <w:rsid w:val="0015074B"/>
    <w:rsid w:val="001C3851"/>
    <w:rsid w:val="0029639D"/>
    <w:rsid w:val="00326450"/>
    <w:rsid w:val="00326F90"/>
    <w:rsid w:val="00377DC3"/>
    <w:rsid w:val="00546BD3"/>
    <w:rsid w:val="006B4534"/>
    <w:rsid w:val="00721AE4"/>
    <w:rsid w:val="00784146"/>
    <w:rsid w:val="00893DA0"/>
    <w:rsid w:val="009A6A84"/>
    <w:rsid w:val="009E7E74"/>
    <w:rsid w:val="009F588C"/>
    <w:rsid w:val="00AA1D8D"/>
    <w:rsid w:val="00B47730"/>
    <w:rsid w:val="00B87F71"/>
    <w:rsid w:val="00B96618"/>
    <w:rsid w:val="00CB0664"/>
    <w:rsid w:val="00CB0874"/>
    <w:rsid w:val="00D87679"/>
    <w:rsid w:val="00E01742"/>
    <w:rsid w:val="00EF0647"/>
    <w:rsid w:val="00F26C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72078A"/>
  <w14:defaultImageDpi w14:val="300"/>
  <w15:docId w15:val="{42033360-BB6A-4E1A-A83D-F02ECA87D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19</Pages>
  <Words>2184</Words>
  <Characters>12451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9</cp:revision>
  <dcterms:created xsi:type="dcterms:W3CDTF">2013-12-23T23:15:00Z</dcterms:created>
  <dcterms:modified xsi:type="dcterms:W3CDTF">2026-05-17T03:38:00Z</dcterms:modified>
  <cp:category/>
</cp:coreProperties>
</file>