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宋体"/>
          <w:sz w:val="21"/>
        </w:rPr>
        <w:t>第三章 基于网络结构与需求潜力的地铁物流配送转运点综合评价</w:t>
      </w:r>
    </w:p>
    <w:p>
      <w:pPr>
        <w:spacing w:line="360" w:lineRule="auto"/>
        <w:ind w:firstLine="480"/>
      </w:pPr>
      <w:r>
        <w:rPr>
          <w:rFonts w:ascii="Times New Roman" w:hAnsi="Times New Roman" w:eastAsia="宋体"/>
          <w:sz w:val="21"/>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Times New Roman" w:hAnsi="Times New Roman" w:eastAsia="宋体"/>
          <w:sz w:val="21"/>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rPr>
          <w:rFonts w:ascii="Times New Roman" w:hAnsi="Times New Roman" w:eastAsia="宋体"/>
          <w:sz w:val="21"/>
        </w:rPr>
        <w:t>3.1 综合评价框架与指标构建原则</w:t>
      </w:r>
    </w:p>
    <w:p>
      <w:pPr>
        <w:pStyle w:val="Heading3"/>
      </w:pPr>
      <w:r>
        <w:rPr>
          <w:rFonts w:ascii="Times New Roman" w:hAnsi="Times New Roman" w:eastAsia="宋体"/>
          <w:sz w:val="21"/>
        </w:rPr>
        <w:t>3.1.1 网络结构与需求潜力协同的框架设计</w:t>
      </w:r>
    </w:p>
    <w:p>
      <w:pPr>
        <w:spacing w:line="360" w:lineRule="auto"/>
        <w:ind w:firstLine="480"/>
      </w:pPr>
      <w:r>
        <w:rPr>
          <w:rFonts w:ascii="Times New Roman" w:hAnsi="Times New Roman" w:eastAsia="宋体"/>
          <w:sz w:val="21"/>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Times New Roman" w:hAnsi="Times New Roman" w:eastAsia="宋体"/>
          <w:sz w:val="21"/>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Times New Roman" w:hAnsi="Times New Roman" w:eastAsia="宋体"/>
          <w:sz w:val="21"/>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spacing w:line="360" w:lineRule="auto"/>
        <w:ind w:firstLine="480"/>
      </w:pPr>
      <w:r>
        <w:rPr>
          <w:rFonts w:ascii="Times New Roman" w:hAnsi="Times New Roman" w:eastAsia="宋体"/>
          <w:sz w:val="21"/>
        </w:rPr>
        <w:t>从研究流程看，本章的输入包括研究区地铁站点集合、地铁线网拓扑数据、人口栅格数据、POI 数据及行政边界数据；输出为候选转运点综合重要度排序及候选站点集合。该结果将作为后续选址—分配模型的候选节点集合，并可用于算法初始化、求解结果解释和布局方案比选，从而实现“站点评价”与“布局优化”之间的衔接。</w:t>
      </w:r>
    </w:p>
    <w:p>
      <w:pPr>
        <w:spacing w:line="360" w:lineRule="auto"/>
        <w:ind w:firstLine="480"/>
      </w:pPr>
      <w:r>
        <w:rPr>
          <w:rFonts w:ascii="Times New Roman" w:hAnsi="Times New Roman" w:eastAsia="宋体"/>
          <w:sz w:val="21"/>
        </w:rPr>
        <w:t>设研究范围内候选地铁站点集合为：</w:t>
      </w:r>
    </w:p>
    <w:p>
      <w:pPr>
        <w:jc w:val="center"/>
      </w:pPr>
      <w:r>
        <w:rPr>
          <w:rFonts w:ascii="Times New Roman" w:hAnsi="Times New Roman" w:eastAsia="宋体"/>
          <w:sz w:val="21"/>
        </w:rPr>
        <w:t>A=\{a_1,a_2,\ldots,a_n\}</w:t>
      </w:r>
    </w:p>
    <w:p>
      <w:pPr>
        <w:spacing w:line="360" w:lineRule="auto"/>
        <w:ind w:firstLine="480"/>
      </w:pPr>
      <w:r>
        <w:rPr>
          <w:rFonts w:ascii="Times New Roman" w:hAnsi="Times New Roman" w:eastAsia="宋体"/>
          <w:sz w:val="21"/>
        </w:rPr>
        <w:t>式中，$A$ 表示候选地铁站点集合；$a_i$ 表示第 $i$ 个候选站点；$n$ 表示候选站点数量。综合评价指标集合可表示为：</w:t>
      </w:r>
    </w:p>
    <w:p>
      <w:pPr>
        <w:jc w:val="center"/>
      </w:pPr>
      <w:r>
        <w:rPr>
          <w:rFonts w:ascii="Times New Roman" w:hAnsi="Times New Roman" w:eastAsia="宋体"/>
          <w:sz w:val="21"/>
        </w:rPr>
        <w:t>C=C_N\cup C_D</w:t>
      </w:r>
    </w:p>
    <w:p>
      <w:pPr>
        <w:spacing w:line="360" w:lineRule="auto"/>
        <w:ind w:firstLine="480"/>
      </w:pPr>
      <w:r>
        <w:rPr>
          <w:rFonts w:ascii="Times New Roman" w:hAnsi="Times New Roman" w:eastAsia="宋体"/>
          <w:sz w:val="21"/>
        </w:rPr>
        <w:t>式中，$C_N$ 表示网络结构维度指标集合；$C_D$ 表示需求潜力维度指标集合。本文构建的地铁物流配送转运点综合评价指标向量为：</w:t>
      </w:r>
    </w:p>
    <w:p>
      <w:pPr>
        <w:jc w:val="center"/>
      </w:pPr>
      <w:r>
        <w:rPr>
          <w:rFonts w:ascii="Times New Roman" w:hAnsi="Times New Roman" w:eastAsia="宋体"/>
          <w:sz w:val="21"/>
        </w:rPr>
        <w:t>x_i=(DC_i,BC_i,CC_i,EC_i,PD_i,H_i,M_i,E_i)</w:t>
      </w:r>
    </w:p>
    <w:p>
      <w:pPr>
        <w:spacing w:line="360" w:lineRule="auto"/>
        <w:ind w:firstLine="480"/>
      </w:pPr>
      <w:r>
        <w:rPr>
          <w:rFonts w:ascii="Times New Roman" w:hAnsi="Times New Roman" w:eastAsia="宋体"/>
          <w:sz w:val="21"/>
        </w:rPr>
        <w:t>式中，$DC_i$、$BC_i$、$CC_i$、$EC_i$ 分别表示站点 $a_i$ 的度中心性、介数中心性、接近中心性和特征向量中心性；$PD_i$、$H_i$、$M_i$、$E_i$ 分别表示站点 $a_i$ 周边人口密度、住宅数量、城市零售集群数量和功能结构混合度。前四项指标对应网络结构属性，后四项指标对应需求潜力属性。</w:t>
      </w:r>
    </w:p>
    <w:p>
      <w:pPr>
        <w:pStyle w:val="Heading3"/>
      </w:pPr>
      <w:r>
        <w:rPr>
          <w:rFonts w:ascii="Times New Roman" w:hAnsi="Times New Roman" w:eastAsia="宋体"/>
          <w:sz w:val="21"/>
        </w:rPr>
        <w:t>3.1.2 指标构建原则</w:t>
      </w:r>
    </w:p>
    <w:p>
      <w:pPr>
        <w:spacing w:line="360" w:lineRule="auto"/>
        <w:ind w:firstLine="480"/>
      </w:pPr>
      <w:r>
        <w:rPr>
          <w:rFonts w:ascii="Times New Roman" w:hAnsi="Times New Roman" w:eastAsia="宋体"/>
          <w:sz w:val="21"/>
        </w:rPr>
        <w:t>地铁物流配送转运点综合评价指标体系的构建应服务于转运点识别和后续布局优化模型。为保证评价结果具有科学性、可操作性和可解释性，本文遵循以下原则构建指标体系。</w:t>
      </w:r>
    </w:p>
    <w:p>
      <w:pPr>
        <w:spacing w:line="360" w:lineRule="auto"/>
        <w:ind w:firstLine="480"/>
      </w:pPr>
      <w:r>
        <w:rPr>
          <w:rFonts w:ascii="Times New Roman" w:hAnsi="Times New Roman" w:eastAsia="宋体"/>
          <w:sz w:val="21"/>
        </w:rPr>
        <w:t>第一，科学性原则。指标应能够反映地铁物流配送转运点的功能属性和形成机理。转运点既是地铁物流网络中的运输组织节点，也是城市末端配送体系中的需求衔接节点。因此，指标体系应同时覆盖地铁网络组织能力和站域需求支撑能力。</w:t>
      </w:r>
    </w:p>
    <w:p>
      <w:pPr>
        <w:spacing w:line="360" w:lineRule="auto"/>
        <w:ind w:firstLine="480"/>
      </w:pPr>
      <w:r>
        <w:rPr>
          <w:rFonts w:ascii="Times New Roman" w:hAnsi="Times New Roman" w:eastAsia="宋体"/>
          <w:sz w:val="21"/>
        </w:rPr>
        <w:t>第二，系统性原则。地铁物流配送转运点评价不是单一交通可达性评价，也不是单一需求强度评价，而是网络供给能力与空间需求潜力共同作用下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Times New Roman" w:hAnsi="Times New Roman" w:eastAsia="宋体"/>
          <w:sz w:val="21"/>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Times New Roman" w:hAnsi="Times New Roman" w:eastAsia="宋体"/>
          <w:sz w:val="21"/>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Times New Roman" w:hAnsi="Times New Roman" w:eastAsia="宋体"/>
          <w:sz w:val="21"/>
        </w:rPr>
        <w:t>第五，衔接性原则。第三章综合评价结果应能够服务于后续布局优化模型。评价结果不仅用于识别备选转运点，还可作为后续选址—分配模型中的候选集筛选依据和站点适宜性参考。因此，指标体系应与后续布局优化模型构建保持逻辑一致，避免评价阶段与优化阶段脱节。</w:t>
      </w:r>
    </w:p>
    <w:p>
      <w:pPr>
        <w:spacing w:line="360" w:lineRule="auto"/>
        <w:ind w:firstLine="480"/>
      </w:pPr>
      <w:r>
        <w:rPr>
          <w:rFonts w:ascii="Times New Roman" w:hAnsi="Times New Roman" w:eastAsia="宋体"/>
          <w:sz w:val="21"/>
        </w:rP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后续可作为工程可实施性复核内容，或在选址—分配优化模型中通过容量、固定成本、站点可用性等约束和参数进行补充刻画。</w:t>
      </w:r>
    </w:p>
    <w:p>
      <w:pPr>
        <w:spacing w:line="360" w:lineRule="auto"/>
        <w:ind w:firstLine="480"/>
      </w:pPr>
      <w:r>
        <w:rPr>
          <w:rFonts w:ascii="Times New Roman" w:hAnsi="Times New Roman" w:eastAsia="宋体"/>
          <w:sz w:val="21"/>
        </w:rPr>
        <w:t>基于上述原则，本文构建的地铁物流配送转运点综合评价指标体系如表 3-1 所示。</w:t>
      </w:r>
    </w:p>
    <w:p>
      <w:pPr>
        <w:spacing w:line="360" w:lineRule="auto"/>
        <w:ind w:firstLine="480"/>
      </w:pPr>
      <w:r>
        <w:rPr>
          <w:rFonts w:ascii="Times New Roman" w:hAnsi="Times New Roman" w:eastAsia="宋体"/>
          <w:b/>
          <w:sz w:val="21"/>
        </w:rPr>
        <w:t>表 3-1 地铁物流配送转运点综合评价指标体系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line="240" w:lineRule="auto"/>
            </w:pPr>
            <w:r>
              <w:rPr>
                <w:rFonts w:ascii="宋体" w:hAnsi="宋体" w:eastAsia="宋体"/>
                <w:sz w:val="18"/>
              </w:rPr>
              <w:t>目标层</w:t>
            </w:r>
          </w:p>
        </w:tc>
        <w:tc>
          <w:tcPr>
            <w:tcW w:type="dxa" w:w="1440"/>
            <w:vAlign w:val="center"/>
          </w:tcPr>
          <w:p>
            <w:pPr>
              <w:spacing w:line="240" w:lineRule="auto"/>
            </w:pPr>
            <w:r>
              <w:rPr>
                <w:rFonts w:ascii="宋体" w:hAnsi="宋体" w:eastAsia="宋体"/>
                <w:sz w:val="18"/>
              </w:rPr>
              <w:t>准则层</w:t>
            </w:r>
          </w:p>
        </w:tc>
        <w:tc>
          <w:tcPr>
            <w:tcW w:type="dxa" w:w="1440"/>
            <w:vAlign w:val="center"/>
          </w:tcPr>
          <w:p>
            <w:pPr>
              <w:spacing w:line="240" w:lineRule="auto"/>
            </w:pPr>
            <w:r>
              <w:rPr>
                <w:rFonts w:ascii="宋体" w:hAnsi="宋体" w:eastAsia="宋体"/>
                <w:sz w:val="18"/>
              </w:rPr>
              <w:t>指标层</w:t>
            </w:r>
          </w:p>
        </w:tc>
        <w:tc>
          <w:tcPr>
            <w:tcW w:type="dxa" w:w="1440"/>
            <w:vAlign w:val="center"/>
          </w:tcPr>
          <w:p>
            <w:pPr>
              <w:spacing w:line="240" w:lineRule="auto"/>
            </w:pPr>
            <w:r>
              <w:rPr>
                <w:rFonts w:ascii="宋体" w:hAnsi="宋体" w:eastAsia="宋体"/>
                <w:sz w:val="18"/>
              </w:rPr>
              <w:t>指标符号</w:t>
            </w:r>
          </w:p>
        </w:tc>
        <w:tc>
          <w:tcPr>
            <w:tcW w:type="dxa" w:w="1440"/>
            <w:vAlign w:val="center"/>
          </w:tcPr>
          <w:p>
            <w:pPr>
              <w:spacing w:line="240" w:lineRule="auto"/>
            </w:pPr>
            <w:r>
              <w:rPr>
                <w:rFonts w:ascii="宋体" w:hAnsi="宋体" w:eastAsia="宋体"/>
                <w:sz w:val="18"/>
              </w:rPr>
              <w:t>指标含义</w:t>
            </w:r>
          </w:p>
        </w:tc>
        <w:tc>
          <w:tcPr>
            <w:tcW w:type="dxa" w:w="1440"/>
            <w:vAlign w:val="center"/>
          </w:tcPr>
          <w:p>
            <w:pPr>
              <w:spacing w:line="240" w:lineRule="auto"/>
            </w:pPr>
            <w:r>
              <w:rPr>
                <w:rFonts w:ascii="宋体" w:hAnsi="宋体" w:eastAsia="宋体"/>
                <w:sz w:val="18"/>
              </w:rPr>
              <w:t>指标属性</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度中心性</w:t>
            </w:r>
          </w:p>
        </w:tc>
        <w:tc>
          <w:tcPr>
            <w:tcW w:type="dxa" w:w="1440"/>
            <w:vAlign w:val="center"/>
          </w:tcPr>
          <w:p>
            <w:pPr>
              <w:spacing w:line="240" w:lineRule="auto"/>
            </w:pPr>
            <w:r>
              <w:rPr>
                <w:rFonts w:ascii="宋体" w:hAnsi="宋体" w:eastAsia="宋体"/>
                <w:sz w:val="18"/>
              </w:rPr>
              <w:t>$DC_i$</w:t>
            </w:r>
          </w:p>
        </w:tc>
        <w:tc>
          <w:tcPr>
            <w:tcW w:type="dxa" w:w="1440"/>
            <w:vAlign w:val="center"/>
          </w:tcPr>
          <w:p>
            <w:pPr>
              <w:spacing w:line="240" w:lineRule="auto"/>
            </w:pPr>
            <w:r>
              <w:rPr>
                <w:rFonts w:ascii="宋体" w:hAnsi="宋体" w:eastAsia="宋体"/>
                <w:sz w:val="18"/>
              </w:rPr>
              <w:t>站点在地铁网络中的直接连接能力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介数中心性</w:t>
            </w:r>
          </w:p>
        </w:tc>
        <w:tc>
          <w:tcPr>
            <w:tcW w:type="dxa" w:w="1440"/>
            <w:vAlign w:val="center"/>
          </w:tcPr>
          <w:p>
            <w:pPr>
              <w:spacing w:line="240" w:lineRule="auto"/>
            </w:pPr>
            <w:r>
              <w:rPr>
                <w:rFonts w:ascii="宋体" w:hAnsi="宋体" w:eastAsia="宋体"/>
                <w:sz w:val="18"/>
              </w:rPr>
              <w:t>$BC_i$</w:t>
            </w:r>
          </w:p>
        </w:tc>
        <w:tc>
          <w:tcPr>
            <w:tcW w:type="dxa" w:w="1440"/>
            <w:vAlign w:val="center"/>
          </w:tcPr>
          <w:p>
            <w:pPr>
              <w:spacing w:line="240" w:lineRule="auto"/>
            </w:pPr>
            <w:r>
              <w:rPr>
                <w:rFonts w:ascii="宋体" w:hAnsi="宋体" w:eastAsia="宋体"/>
                <w:sz w:val="18"/>
              </w:rPr>
              <w:t>站点在网络最短路径中的中介作用</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接近中心性</w:t>
            </w:r>
          </w:p>
        </w:tc>
        <w:tc>
          <w:tcPr>
            <w:tcW w:type="dxa" w:w="1440"/>
            <w:vAlign w:val="center"/>
          </w:tcPr>
          <w:p>
            <w:pPr>
              <w:spacing w:line="240" w:lineRule="auto"/>
            </w:pPr>
            <w:r>
              <w:rPr>
                <w:rFonts w:ascii="宋体" w:hAnsi="宋体" w:eastAsia="宋体"/>
                <w:sz w:val="18"/>
              </w:rPr>
              <w:t>$CC_i$</w:t>
            </w:r>
          </w:p>
        </w:tc>
        <w:tc>
          <w:tcPr>
            <w:tcW w:type="dxa" w:w="1440"/>
            <w:vAlign w:val="center"/>
          </w:tcPr>
          <w:p>
            <w:pPr>
              <w:spacing w:line="240" w:lineRule="auto"/>
            </w:pPr>
            <w:r>
              <w:rPr>
                <w:rFonts w:ascii="宋体" w:hAnsi="宋体" w:eastAsia="宋体"/>
                <w:sz w:val="18"/>
              </w:rPr>
              <w:t>站点面向全网的整体可达能力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特征向量中心性</w:t>
            </w:r>
          </w:p>
        </w:tc>
        <w:tc>
          <w:tcPr>
            <w:tcW w:type="dxa" w:w="1440"/>
            <w:vAlign w:val="center"/>
          </w:tcPr>
          <w:p>
            <w:pPr>
              <w:spacing w:line="240" w:lineRule="auto"/>
            </w:pPr>
            <w:r>
              <w:rPr>
                <w:rFonts w:ascii="宋体" w:hAnsi="宋体" w:eastAsia="宋体"/>
                <w:sz w:val="18"/>
              </w:rPr>
              <w:t>$EC_i$</w:t>
            </w:r>
          </w:p>
        </w:tc>
        <w:tc>
          <w:tcPr>
            <w:tcW w:type="dxa" w:w="1440"/>
            <w:vAlign w:val="center"/>
          </w:tcPr>
          <w:p>
            <w:pPr>
              <w:spacing w:line="240" w:lineRule="auto"/>
            </w:pPr>
            <w:r>
              <w:rPr>
                <w:rFonts w:ascii="宋体" w:hAnsi="宋体" w:eastAsia="宋体"/>
                <w:sz w:val="18"/>
              </w:rPr>
              <w:t>站点与重要节点之间的连接程度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人口密度</w:t>
            </w:r>
          </w:p>
        </w:tc>
        <w:tc>
          <w:tcPr>
            <w:tcW w:type="dxa" w:w="1440"/>
            <w:vAlign w:val="center"/>
          </w:tcPr>
          <w:p>
            <w:pPr>
              <w:spacing w:line="240" w:lineRule="auto"/>
            </w:pPr>
            <w:r>
              <w:rPr>
                <w:rFonts w:ascii="宋体" w:hAnsi="宋体" w:eastAsia="宋体"/>
                <w:sz w:val="18"/>
              </w:rPr>
              <w:t>$PD_i$</w:t>
            </w:r>
          </w:p>
        </w:tc>
        <w:tc>
          <w:tcPr>
            <w:tcW w:type="dxa" w:w="1440"/>
            <w:vAlign w:val="center"/>
          </w:tcPr>
          <w:p>
            <w:pPr>
              <w:spacing w:line="240" w:lineRule="auto"/>
            </w:pPr>
            <w:r>
              <w:rPr>
                <w:rFonts w:ascii="宋体" w:hAnsi="宋体" w:eastAsia="宋体"/>
                <w:sz w:val="18"/>
              </w:rPr>
              <w:t>站域范围内常住人口集聚水平</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住宅数量</w:t>
            </w:r>
          </w:p>
        </w:tc>
        <w:tc>
          <w:tcPr>
            <w:tcW w:type="dxa" w:w="1440"/>
            <w:vAlign w:val="center"/>
          </w:tcPr>
          <w:p>
            <w:pPr>
              <w:spacing w:line="240" w:lineRule="auto"/>
            </w:pPr>
            <w:r>
              <w:rPr>
                <w:rFonts w:ascii="宋体" w:hAnsi="宋体" w:eastAsia="宋体"/>
                <w:sz w:val="18"/>
              </w:rPr>
              <w:t>$H_i$</w:t>
            </w:r>
          </w:p>
        </w:tc>
        <w:tc>
          <w:tcPr>
            <w:tcW w:type="dxa" w:w="1440"/>
            <w:vAlign w:val="center"/>
          </w:tcPr>
          <w:p>
            <w:pPr>
              <w:spacing w:line="240" w:lineRule="auto"/>
            </w:pPr>
            <w:r>
              <w:rPr>
                <w:rFonts w:ascii="宋体" w:hAnsi="宋体" w:eastAsia="宋体"/>
                <w:sz w:val="18"/>
              </w:rPr>
              <w:t>站域范围内住宅类需求单元数量</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城市零售集群数量</w:t>
            </w:r>
          </w:p>
        </w:tc>
        <w:tc>
          <w:tcPr>
            <w:tcW w:type="dxa" w:w="1440"/>
            <w:vAlign w:val="center"/>
          </w:tcPr>
          <w:p>
            <w:pPr>
              <w:spacing w:line="240" w:lineRule="auto"/>
            </w:pPr>
            <w:r>
              <w:rPr>
                <w:rFonts w:ascii="宋体" w:hAnsi="宋体" w:eastAsia="宋体"/>
                <w:sz w:val="18"/>
              </w:rPr>
              <w:t>$M_i$</w:t>
            </w:r>
          </w:p>
        </w:tc>
        <w:tc>
          <w:tcPr>
            <w:tcW w:type="dxa" w:w="1440"/>
            <w:vAlign w:val="center"/>
          </w:tcPr>
          <w:p>
            <w:pPr>
              <w:spacing w:line="240" w:lineRule="auto"/>
            </w:pPr>
            <w:r>
              <w:rPr>
                <w:rFonts w:ascii="宋体" w:hAnsi="宋体" w:eastAsia="宋体"/>
                <w:sz w:val="18"/>
              </w:rPr>
              <w:t>站域范围内商业消费活动集聚程度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功能结构混合度</w:t>
            </w:r>
          </w:p>
        </w:tc>
        <w:tc>
          <w:tcPr>
            <w:tcW w:type="dxa" w:w="1440"/>
            <w:vAlign w:val="center"/>
          </w:tcPr>
          <w:p>
            <w:pPr>
              <w:spacing w:line="240" w:lineRule="auto"/>
            </w:pPr>
            <w:r>
              <w:rPr>
                <w:rFonts w:ascii="宋体" w:hAnsi="宋体" w:eastAsia="宋体"/>
                <w:sz w:val="18"/>
              </w:rPr>
              <w:t>$E_i$</w:t>
            </w:r>
          </w:p>
        </w:tc>
        <w:tc>
          <w:tcPr>
            <w:tcW w:type="dxa" w:w="1440"/>
            <w:vAlign w:val="center"/>
          </w:tcPr>
          <w:p>
            <w:pPr>
              <w:spacing w:line="240" w:lineRule="auto"/>
            </w:pPr>
            <w:r>
              <w:rPr>
                <w:rFonts w:ascii="宋体" w:hAnsi="宋体" w:eastAsia="宋体"/>
                <w:sz w:val="18"/>
              </w:rPr>
              <w:t>站域内多类城市功能的多样性与均衡性</w:t>
            </w:r>
          </w:p>
        </w:tc>
        <w:tc>
          <w:tcPr>
            <w:tcW w:type="dxa" w:w="1440"/>
            <w:vAlign w:val="center"/>
          </w:tcPr>
          <w:p>
            <w:pPr>
              <w:spacing w:line="240" w:lineRule="auto"/>
            </w:pPr>
            <w:r>
              <w:rPr>
                <w:rFonts w:ascii="宋体" w:hAnsi="宋体" w:eastAsia="宋体"/>
                <w:sz w:val="18"/>
              </w:rPr>
              <w:t>正向</w:t>
            </w:r>
          </w:p>
        </w:tc>
      </w:tr>
    </w:tbl>
    <w:p>
      <w:pPr>
        <w:pStyle w:val="Heading2"/>
      </w:pPr>
      <w:r>
        <w:rPr>
          <w:rFonts w:ascii="Times New Roman" w:hAnsi="Times New Roman" w:eastAsia="宋体"/>
          <w:sz w:val="21"/>
        </w:rPr>
        <w:t>3.2 网络结构维度</w:t>
      </w:r>
    </w:p>
    <w:p>
      <w:pPr>
        <w:pStyle w:val="Heading3"/>
      </w:pPr>
      <w:r>
        <w:rPr>
          <w:rFonts w:ascii="Times New Roman" w:hAnsi="Times New Roman" w:eastAsia="宋体"/>
          <w:sz w:val="21"/>
        </w:rPr>
        <w:t>3.2.1 基于复杂网络理论的地铁网络建模</w:t>
      </w:r>
    </w:p>
    <w:p>
      <w:pPr>
        <w:spacing w:line="360" w:lineRule="auto"/>
        <w:ind w:firstLine="480"/>
      </w:pPr>
      <w:r>
        <w:rPr>
          <w:rFonts w:ascii="Times New Roman" w:hAnsi="Times New Roman" w:eastAsia="宋体"/>
          <w:sz w:val="21"/>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Times New Roman" w:hAnsi="Times New Roman" w:eastAsia="宋体"/>
          <w:sz w:val="21"/>
        </w:rPr>
        <w:t>设地铁网络表示为无向图：</w:t>
      </w:r>
    </w:p>
    <w:p>
      <w:pPr>
        <w:jc w:val="center"/>
      </w:pPr>
      <w:r>
        <w:rPr>
          <w:rFonts w:ascii="Times New Roman" w:hAnsi="Times New Roman" w:eastAsia="宋体"/>
          <w:sz w:val="21"/>
        </w:rPr>
        <w:t>G=(V,E)</w:t>
      </w:r>
    </w:p>
    <w:p>
      <w:pPr>
        <w:spacing w:line="360" w:lineRule="auto"/>
        <w:ind w:firstLine="480"/>
      </w:pPr>
      <w:r>
        <w:rPr>
          <w:rFonts w:ascii="Times New Roman" w:hAnsi="Times New Roman" w:eastAsia="宋体"/>
          <w:sz w:val="21"/>
        </w:rPr>
        <w:t>式中，$G$ 表示地铁网络；$V=\{v_1,v_2,\ldots,v_n\}$ 表示地铁站点节点集合；$E=\{e_1,e_2,\ldots,e_m\}$ 表示站点之间的连接边集合；$n$ 为站点数量；$m$ 为边数量。</w:t>
      </w:r>
    </w:p>
    <w:p>
      <w:pPr>
        <w:spacing w:line="360" w:lineRule="auto"/>
        <w:ind w:firstLine="480"/>
      </w:pPr>
      <w:r>
        <w:rPr>
          <w:rFonts w:ascii="Times New Roman" w:hAnsi="Times New Roman" w:eastAsia="宋体"/>
          <w:sz w:val="21"/>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$A=[a_{ij}]_{n\times n}$。对于无向网络，有 $a_{ij}=a_{ji}$。该处理能够突出换乘站在网络连通和路径组织中的拓扑优势；其站内空间复杂性和客流组织压力则可在后续工程可实施性复核或容量、成本参数设定中进一步体现。</w:t>
      </w:r>
    </w:p>
    <w:p>
      <w:pPr>
        <w:spacing w:line="360" w:lineRule="auto"/>
        <w:ind w:firstLine="420"/>
      </w:pPr>
      <w:r>
        <w:rPr>
          <w:rFonts w:ascii="Times New Roman" w:hAnsi="Times New Roman" w:eastAsia="宋体"/>
          <w:sz w:val="21"/>
        </w:rPr>
        <w:t>在具体建网方法上，轨道交通网络通常可采用 SpaceL、SpaceP 等不同抽象方式。SpaceL 方法以相邻站点间的实际线路连接关系作为网络边，能够较好保留线路连续性和站间连接结构，适用于站点中心性、路径组织能力和网络拓扑地位分析。鉴于本文第三章的任务是识别具备物流转运潜力的候选站点，而非刻画乘客换乘行为或列车运行时刻，故采用 SpaceL 方法构建地铁网络拓扑模型。实际案例中的研究范围、线路数量、站点数量、边数量及站点经纬度来源，将在第五章案例数据部分结合成都市武侯区地铁网络进行说明。</w:t>
      </w:r>
    </w:p>
    <w:p>
      <w:pPr>
        <w:spacing w:line="360" w:lineRule="auto"/>
        <w:ind w:firstLine="480"/>
      </w:pPr>
      <w:r>
        <w:rPr>
          <w:rFonts w:ascii="Times New Roman" w:hAnsi="Times New Roman" w:eastAsia="宋体"/>
          <w:sz w:val="21"/>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rPr>
          <w:rFonts w:ascii="Times New Roman" w:hAnsi="Times New Roman" w:eastAsia="宋体"/>
          <w:sz w:val="21"/>
        </w:rPr>
        <w:t>3.2.2 地铁网络节点拓扑中心度指标</w:t>
      </w:r>
    </w:p>
    <w:p>
      <w:pPr>
        <w:spacing w:line="360" w:lineRule="auto"/>
        <w:ind w:firstLine="480"/>
      </w:pPr>
      <w:r>
        <w:rPr>
          <w:rFonts w:ascii="Times New Roman" w:hAnsi="Times New Roman" w:eastAsia="宋体"/>
          <w:sz w:val="21"/>
        </w:rPr>
        <w:t>（1）度中心性</w:t>
      </w:r>
    </w:p>
    <w:p>
      <w:pPr>
        <w:spacing w:line="360" w:lineRule="auto"/>
        <w:ind w:firstLine="480"/>
      </w:pPr>
      <w:r>
        <w:rPr>
          <w:rFonts w:ascii="Times New Roman" w:hAnsi="Times New Roman" w:eastAsia="宋体"/>
          <w:sz w:val="21"/>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jc w:val="center"/>
      </w:pPr>
      <w:r>
        <w:rPr>
          <w:rFonts w:ascii="Times New Roman" w:hAnsi="Times New Roman" w:eastAsia="宋体"/>
          <w:sz w:val="21"/>
        </w:rPr>
        <w:t>DC_i=\frac{k_i}{n-1},\quad k_i=\sum_{j=1}^{n}a_{ij}</w:t>
      </w:r>
    </w:p>
    <w:p>
      <w:pPr>
        <w:spacing w:line="360" w:lineRule="auto"/>
        <w:ind w:firstLine="480"/>
      </w:pPr>
      <w:r>
        <w:rPr>
          <w:rFonts w:ascii="Times New Roman" w:hAnsi="Times New Roman" w:eastAsia="宋体"/>
          <w:sz w:val="21"/>
        </w:rPr>
        <w:t>式中，$DC_i$ 表示节点 $v_i$ 的度中心性；$k_i$ 表示节点 $v_i$ 的度；$a_{ij}$ 表示节点 $v_i$ 与节点 $v_j$ 之间是否存在连接关系；$n$ 表示网络节点总数。</w:t>
      </w:r>
    </w:p>
    <w:p>
      <w:pPr>
        <w:spacing w:line="360" w:lineRule="auto"/>
        <w:ind w:firstLine="480"/>
      </w:pPr>
      <w:r>
        <w:rPr>
          <w:rFonts w:ascii="Times New Roman" w:hAnsi="Times New Roman" w:eastAsia="宋体"/>
          <w:sz w:val="21"/>
        </w:rPr>
        <w:t>（2）介数中心性</w:t>
      </w:r>
    </w:p>
    <w:p>
      <w:pPr>
        <w:spacing w:line="360" w:lineRule="auto"/>
        <w:ind w:firstLine="480"/>
      </w:pPr>
      <w:r>
        <w:rPr>
          <w:rFonts w:ascii="Times New Roman" w:hAnsi="Times New Roman" w:eastAsia="宋体"/>
          <w:sz w:val="21"/>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jc w:val="center"/>
      </w:pPr>
      <w:r>
        <w:rPr>
          <w:rFonts w:ascii="Times New Roman" w:hAnsi="Times New Roman" w:eastAsia="宋体"/>
          <w:sz w:val="21"/>
        </w:rPr>
        <w:t>BC_i=\frac{2}{(n-1)(n-2)}\sum_{s\ne i\ne t}\frac{\sigma_{st}(i)}{\sigma_{st}}</w:t>
      </w:r>
    </w:p>
    <w:p>
      <w:pPr>
        <w:spacing w:line="360" w:lineRule="auto"/>
        <w:ind w:firstLine="480"/>
      </w:pPr>
      <w:r>
        <w:rPr>
          <w:rFonts w:ascii="Times New Roman" w:hAnsi="Times New Roman" w:eastAsia="宋体"/>
          <w:sz w:val="21"/>
        </w:rPr>
        <w:t>式中，$BC_i$ 表示节点 $v_i$ 的归一化介数中心性；$\sigma_{st}$ 表示节点 $s$ 与节点 $t$ 之间的最短路径数量；$\sigma_{st}(i)$ 表示节点 $s$ 与节点 $t$ 之间经过节点 $i$ 的最短路径数量；$2/[(n-1)(n-2)]$ 为无向网络中的归一化系数，用于将不同规模网络下的介数中心性调整至可比较范围。</w:t>
      </w:r>
    </w:p>
    <w:p>
      <w:pPr>
        <w:spacing w:line="360" w:lineRule="auto"/>
        <w:ind w:firstLine="480"/>
      </w:pPr>
      <w:r>
        <w:rPr>
          <w:rFonts w:ascii="Times New Roman" w:hAnsi="Times New Roman" w:eastAsia="宋体"/>
          <w:sz w:val="21"/>
        </w:rPr>
        <w:t>（3）接近中心性</w:t>
      </w:r>
    </w:p>
    <w:p>
      <w:pPr>
        <w:spacing w:line="360" w:lineRule="auto"/>
        <w:ind w:firstLine="480"/>
      </w:pPr>
      <w:r>
        <w:rPr>
          <w:rFonts w:ascii="Times New Roman" w:hAnsi="Times New Roman" w:eastAsia="宋体"/>
          <w:sz w:val="21"/>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pPr>
        <w:jc w:val="center"/>
      </w:pPr>
      <w:r>
        <w:rPr>
          <w:rFonts w:ascii="Times New Roman" w:hAnsi="Times New Roman" w:eastAsia="宋体"/>
          <w:sz w:val="21"/>
        </w:rPr>
        <w:t>CC_i=\frac{n-1}{\sum_{j=1,j\ne i}^{n}d_{ij}}</w:t>
      </w:r>
    </w:p>
    <w:p>
      <w:pPr>
        <w:spacing w:line="360" w:lineRule="auto"/>
        <w:ind w:firstLine="480"/>
      </w:pPr>
      <w:r>
        <w:rPr>
          <w:rFonts w:ascii="Times New Roman" w:hAnsi="Times New Roman" w:eastAsia="宋体"/>
          <w:sz w:val="21"/>
        </w:rPr>
        <w:t>式中，$CC_i$ 表示节点 $v_i$ 的接近中心性；$d_{ij}$ 表示节点 $v_i$ 与节点 $v_j$ 之间的最短路径长度。本文研究区地铁网络为连通网络，因此采用上述归一化接近中心性形式；若存在不可达节点，则需采用调和接近中心性或对不可达节点进行单独处理。</w:t>
      </w:r>
    </w:p>
    <w:p>
      <w:pPr>
        <w:spacing w:line="360" w:lineRule="auto"/>
        <w:ind w:firstLine="480"/>
      </w:pPr>
      <w:r>
        <w:rPr>
          <w:rFonts w:ascii="Times New Roman" w:hAnsi="Times New Roman" w:eastAsia="宋体"/>
          <w:sz w:val="21"/>
        </w:rPr>
        <w:t>（4）特征向量中心性</w:t>
      </w:r>
    </w:p>
    <w:p>
      <w:pPr>
        <w:spacing w:line="360" w:lineRule="auto"/>
        <w:ind w:firstLine="480"/>
      </w:pPr>
      <w:r>
        <w:rPr>
          <w:rFonts w:ascii="Times New Roman" w:hAnsi="Times New Roman" w:eastAsia="宋体"/>
          <w:sz w:val="21"/>
        </w:rPr>
        <w:t>特征向量中心性用于衡量节点与重要节点之间的连接程度。与度中心性仅关注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pPr>
        <w:jc w:val="center"/>
      </w:pPr>
      <w:r>
        <w:rPr>
          <w:rFonts w:ascii="Times New Roman" w:hAnsi="Times New Roman" w:eastAsia="宋体"/>
          <w:sz w:val="21"/>
        </w:rPr>
        <w:t>EC_i=\frac{1}{\lambda}\sum_{j=1}^{n}a_{ij}EC_j</w:t>
      </w:r>
    </w:p>
    <w:p>
      <w:pPr>
        <w:spacing w:line="360" w:lineRule="auto"/>
        <w:ind w:firstLine="480"/>
      </w:pPr>
      <w:r>
        <w:rPr>
          <w:rFonts w:ascii="Times New Roman" w:hAnsi="Times New Roman" w:eastAsia="宋体"/>
          <w:sz w:val="21"/>
        </w:rPr>
        <w:t>式中，$EC_i$ 表示节点 $v_i$ 的特征向量中心性；$EC_j$ 表示节点 $v_j$ 的特征向量中心性；$\lambda$ 表示邻接矩阵对应的特征值。</w:t>
      </w:r>
    </w:p>
    <w:p>
      <w:pPr>
        <w:spacing w:line="360" w:lineRule="auto"/>
        <w:ind w:firstLine="480"/>
      </w:pPr>
      <w:r>
        <w:rPr>
          <w:rFonts w:ascii="Times New Roman" w:hAnsi="Times New Roman" w:eastAsia="宋体"/>
          <w:sz w:val="21"/>
        </w:rPr>
        <w:t>上述四类网络结构指标分别从直接连接、路径中介、整体可达和核心邻接四个方面刻画地铁站点的网络组织能力，能够为识别具有较强地铁干线运输支撑能力的候选转运点提供依据。</w:t>
      </w:r>
    </w:p>
    <w:p>
      <w:pPr>
        <w:pStyle w:val="Heading2"/>
      </w:pPr>
      <w:r>
        <w:rPr>
          <w:rFonts w:ascii="Times New Roman" w:hAnsi="Times New Roman" w:eastAsia="宋体"/>
          <w:sz w:val="21"/>
        </w:rPr>
        <w:t>3.3 需求潜力维度</w:t>
      </w:r>
    </w:p>
    <w:p>
      <w:pPr>
        <w:pStyle w:val="Heading3"/>
      </w:pPr>
      <w:r>
        <w:rPr>
          <w:rFonts w:ascii="Times New Roman" w:hAnsi="Times New Roman" w:eastAsia="宋体"/>
          <w:sz w:val="21"/>
        </w:rPr>
        <w:t>3.3.1 周边环境指标体系构建</w:t>
      </w:r>
    </w:p>
    <w:p>
      <w:pPr>
        <w:spacing w:line="360" w:lineRule="auto"/>
        <w:ind w:firstLine="480"/>
      </w:pPr>
      <w:r>
        <w:rPr>
          <w:rFonts w:ascii="Times New Roman" w:hAnsi="Times New Roman" w:eastAsia="宋体"/>
          <w:sz w:val="21"/>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Times New Roman" w:hAnsi="Times New Roman" w:eastAsia="宋体"/>
          <w:sz w:val="21"/>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分配模型与案例分析中进一步刻画。</w:t>
      </w:r>
    </w:p>
    <w:p>
      <w:pPr>
        <w:spacing w:line="360" w:lineRule="auto"/>
        <w:ind w:firstLine="480"/>
      </w:pPr>
      <w:r>
        <w:rPr>
          <w:rFonts w:ascii="Times New Roman" w:hAnsi="Times New Roman" w:eastAsia="宋体"/>
          <w:sz w:val="21"/>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Times New Roman" w:hAnsi="Times New Roman" w:eastAsia="宋体"/>
          <w:sz w:val="21"/>
        </w:rPr>
        <w:t>（1）人口密度</w:t>
      </w:r>
    </w:p>
    <w:p>
      <w:pPr>
        <w:spacing w:line="360" w:lineRule="auto"/>
        <w:ind w:firstLine="480"/>
      </w:pPr>
      <w:r>
        <w:rPr>
          <w:rFonts w:ascii="Times New Roman" w:hAnsi="Times New Roman" w:eastAsia="宋体"/>
          <w:sz w:val="21"/>
        </w:rPr>
        <w:t>人口密度反映单位面积内人口分布强度。人口密度越高，通常意味着站点周边具有更强的生活消费需求和末端配送需求。设站点 $a_i$ 周边缓冲区范围内人口总量为 $P_i$，缓冲区面积为 $S_i$，则人口密度可表示为：</w:t>
      </w:r>
    </w:p>
    <w:p>
      <w:pPr>
        <w:jc w:val="center"/>
      </w:pPr>
      <w:r>
        <w:rPr>
          <w:rFonts w:ascii="Times New Roman" w:hAnsi="Times New Roman" w:eastAsia="宋体"/>
          <w:sz w:val="21"/>
        </w:rPr>
        <w:t>PD_i=\frac{P_i}{S_i}</w:t>
      </w:r>
    </w:p>
    <w:p>
      <w:pPr>
        <w:spacing w:line="360" w:lineRule="auto"/>
        <w:ind w:firstLine="480"/>
      </w:pPr>
      <w:r>
        <w:rPr>
          <w:rFonts w:ascii="Times New Roman" w:hAnsi="Times New Roman" w:eastAsia="宋体"/>
          <w:sz w:val="21"/>
        </w:rPr>
        <w:t>式中，$PD_i$ 表示站点 $a_i$ 的人口密度；$P_i$ 表示缓冲区内人口总量；$S_i$ 表示缓冲区面积。</w:t>
      </w:r>
    </w:p>
    <w:p>
      <w:pPr>
        <w:spacing w:line="360" w:lineRule="auto"/>
        <w:ind w:firstLine="480"/>
      </w:pPr>
      <w:r>
        <w:rPr>
          <w:rFonts w:ascii="Times New Roman" w:hAnsi="Times New Roman" w:eastAsia="宋体"/>
          <w:sz w:val="21"/>
        </w:rPr>
        <w:t>（2）住宅数量</w:t>
      </w:r>
    </w:p>
    <w:p>
      <w:pPr>
        <w:spacing w:line="360" w:lineRule="auto"/>
        <w:ind w:firstLine="480"/>
      </w:pPr>
      <w:r>
        <w:rPr>
          <w:rFonts w:ascii="Times New Roman" w:hAnsi="Times New Roman" w:eastAsia="宋体"/>
          <w:sz w:val="21"/>
        </w:rPr>
        <w:t>住宅数量用于反映站点周边居住单元规模。住宅数量越多，说明站点周边居民日常生活消费和快递配送需求越集中，具备较强的社区型末端物流需求基础。</w:t>
      </w:r>
    </w:p>
    <w:p>
      <w:pPr>
        <w:jc w:val="center"/>
      </w:pPr>
      <w:r>
        <w:rPr>
          <w:rFonts w:ascii="Times New Roman" w:hAnsi="Times New Roman" w:eastAsia="宋体"/>
          <w:sz w:val="21"/>
        </w:rPr>
        <w:t>H_i=\sum_{h=1}^{q}I_h</w:t>
      </w:r>
    </w:p>
    <w:p>
      <w:pPr>
        <w:spacing w:line="360" w:lineRule="auto"/>
        <w:ind w:firstLine="480"/>
      </w:pPr>
      <w:r>
        <w:rPr>
          <w:rFonts w:ascii="Times New Roman" w:hAnsi="Times New Roman" w:eastAsia="宋体"/>
          <w:sz w:val="21"/>
        </w:rPr>
        <w:t>式中，$H_i$ 表示站点 $a_i$ 周边住宅数量；$I_h$ 表示第 $h$ 个住宅类空间对象是否位于站点缓冲区内，若位于缓冲区内则取 1，否则取 0；$q$ 表示住宅类空间对象总数。</w:t>
      </w:r>
    </w:p>
    <w:p>
      <w:pPr>
        <w:spacing w:line="360" w:lineRule="auto"/>
        <w:ind w:firstLine="480"/>
      </w:pPr>
      <w:r>
        <w:rPr>
          <w:rFonts w:ascii="Times New Roman" w:hAnsi="Times New Roman" w:eastAsia="宋体"/>
          <w:sz w:val="21"/>
        </w:rPr>
        <w:t>（3）城市零售集群数量</w:t>
      </w:r>
    </w:p>
    <w:p>
      <w:pPr>
        <w:spacing w:line="360" w:lineRule="auto"/>
        <w:ind w:firstLine="480"/>
      </w:pPr>
      <w:r>
        <w:rPr>
          <w:rFonts w:ascii="Times New Roman" w:hAnsi="Times New Roman" w:eastAsia="宋体"/>
          <w:sz w:val="21"/>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jc w:val="center"/>
      </w:pPr>
      <w:r>
        <w:rPr>
          <w:rFonts w:ascii="Times New Roman" w:hAnsi="Times New Roman" w:eastAsia="宋体"/>
          <w:sz w:val="21"/>
        </w:rPr>
        <w:t>M_i=\sum_{m=1}^{r}I_m</w:t>
      </w:r>
    </w:p>
    <w:p>
      <w:pPr>
        <w:spacing w:line="360" w:lineRule="auto"/>
        <w:ind w:firstLine="480"/>
      </w:pPr>
      <w:r>
        <w:rPr>
          <w:rFonts w:ascii="Times New Roman" w:hAnsi="Times New Roman" w:eastAsia="宋体"/>
          <w:sz w:val="21"/>
        </w:rPr>
        <w:t>式中，$M_i$ 表示站点 $a_i$ 周边城市零售集群数量；$I_m$ 表示第 $m$ 个零售集群是否位于站点缓冲区内，若位于缓冲区内则取 1，否则取 0；$r$ 表示零售集群总数。</w:t>
      </w:r>
    </w:p>
    <w:p>
      <w:pPr>
        <w:spacing w:line="360" w:lineRule="auto"/>
        <w:ind w:firstLine="480"/>
      </w:pPr>
      <w:r>
        <w:rPr>
          <w:rFonts w:ascii="Times New Roman" w:hAnsi="Times New Roman" w:eastAsia="宋体"/>
          <w:sz w:val="21"/>
        </w:rPr>
        <w:t>（4）功能结构混合度</w:t>
      </w:r>
    </w:p>
    <w:p>
      <w:pPr>
        <w:spacing w:line="360" w:lineRule="auto"/>
        <w:ind w:firstLine="480"/>
      </w:pPr>
      <w:r>
        <w:rPr>
          <w:rFonts w:ascii="Times New Roman" w:hAnsi="Times New Roman" w:eastAsia="宋体"/>
          <w:sz w:val="21"/>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jc w:val="center"/>
      </w:pPr>
      <w:r>
        <w:rPr>
          <w:rFonts w:ascii="Times New Roman" w:hAnsi="Times New Roman" w:eastAsia="宋体"/>
          <w:sz w:val="21"/>
        </w:rPr>
        <w:t>E_i=-\frac{\sum_{k=1}^{K}p_{ik}\ln(p_{ik})}{\ln K}</w:t>
      </w:r>
    </w:p>
    <w:p>
      <w:pPr>
        <w:spacing w:line="360" w:lineRule="auto"/>
        <w:ind w:firstLine="480"/>
      </w:pPr>
      <w:r>
        <w:rPr>
          <w:rFonts w:ascii="Times New Roman" w:hAnsi="Times New Roman" w:eastAsia="宋体"/>
          <w:sz w:val="21"/>
        </w:rPr>
        <w:t>式中，$E_i$ 表示站点 $a_i$ 周边功能结构混合度；$K$ 表示城市功能类型数量；$p_{ik}$ 表示站点 $a_i$ 缓冲区内第 $k$ 类功能要素占全部功能要素的比例。当 $p_{ik}=0$ 时，令 $p_{ik}\ln(p_{ik})=0$。$E_i$ 的取值越大，说明站点周边功能类型越均衡，功能混合程度越高。</w:t>
      </w:r>
    </w:p>
    <w:p>
      <w:pPr>
        <w:pStyle w:val="Heading3"/>
      </w:pPr>
      <w:r>
        <w:rPr>
          <w:rFonts w:ascii="Times New Roman" w:hAnsi="Times New Roman" w:eastAsia="宋体"/>
          <w:sz w:val="21"/>
        </w:rPr>
        <w:t>3.3.2 基于缓冲区的数据来源与清洗规则</w:t>
      </w:r>
    </w:p>
    <w:p>
      <w:pPr>
        <w:spacing w:line="360" w:lineRule="auto"/>
        <w:ind w:firstLine="480"/>
      </w:pPr>
      <w:r>
        <w:rPr>
          <w:rFonts w:ascii="Times New Roman" w:hAnsi="Times New Roman" w:eastAsia="宋体"/>
          <w:sz w:val="21"/>
        </w:rPr>
        <w:t>为保证需求潜力指标计算具有明确的数据基础和可复现性，本文在站域需求潜力测度中主要使用人口栅格数据、兴趣点数据、地铁站点空间数据、地铁线网连接数据和研究区行政边界数据。其中，人口密度指标采用 WorldPop 人口栅格数据进行计算。WorldPop 数据能够以栅格形式反映人口空间分布特征，相较于行政区尺度人口统计数据，更适合用于地铁站域尺度的人口集聚水平测度。本文基于站点缓冲区与人口栅格的空间叠置关系，采用面积加权方法统计各候选站点有效站域范围内的人口总量，并进一步计算人口密度。</w:t>
      </w:r>
    </w:p>
    <w:p>
      <w:pPr>
        <w:spacing w:line="360" w:lineRule="auto"/>
        <w:ind w:firstLine="480"/>
      </w:pPr>
      <w:r>
        <w:rPr>
          <w:rFonts w:ascii="Times New Roman" w:hAnsi="Times New Roman" w:eastAsia="宋体"/>
          <w:sz w:val="21"/>
        </w:rPr>
        <w:t>POI 数据来源于高德地图 API，主要用于识别站点周边住宅、城市零售集群以及不同类型城市功能要素。高德地图 POI 数据具有类别字段、名称字段和空间坐标信息，能够支撑站域尺度的功能识别与空间统计。本文依据 POI 分类编码、二级类别和名称关键词，对住宅类、商业零售类及其他城市功能类 POI 进行筛选与归类，并在统一缓冲区范围内计算住宅数量、城市零售集群数量和功能结构混合度。</w:t>
      </w:r>
    </w:p>
    <w:p>
      <w:pPr>
        <w:spacing w:line="360" w:lineRule="auto"/>
        <w:ind w:firstLine="480"/>
      </w:pPr>
      <w:r>
        <w:rPr>
          <w:rFonts w:ascii="Times New Roman" w:hAnsi="Times New Roman" w:eastAsia="宋体"/>
          <w:sz w:val="21"/>
        </w:rP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pPr>
        <w:spacing w:line="360" w:lineRule="auto"/>
        <w:ind w:firstLine="480"/>
      </w:pPr>
      <w:r>
        <w:rPr>
          <w:rFonts w:ascii="Times New Roman" w:hAnsi="Times New Roman" w:eastAsia="宋体"/>
          <w:b/>
          <w:sz w:val="21"/>
        </w:rPr>
        <w:t>表 3-2 地铁物流配送转运点评价相关数据来源与用途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数据类型</w:t>
            </w:r>
          </w:p>
        </w:tc>
        <w:tc>
          <w:tcPr>
            <w:tcW w:type="dxa" w:w="2160"/>
            <w:vAlign w:val="center"/>
          </w:tcPr>
          <w:p>
            <w:pPr>
              <w:spacing w:line="240" w:lineRule="auto"/>
            </w:pPr>
            <w:r>
              <w:rPr>
                <w:rFonts w:ascii="宋体" w:hAnsi="宋体" w:eastAsia="宋体"/>
                <w:sz w:val="18"/>
              </w:rPr>
              <w:t>数据来源</w:t>
            </w:r>
          </w:p>
        </w:tc>
        <w:tc>
          <w:tcPr>
            <w:tcW w:type="dxa" w:w="2160"/>
            <w:vAlign w:val="center"/>
          </w:tcPr>
          <w:p>
            <w:pPr>
              <w:spacing w:line="240" w:lineRule="auto"/>
            </w:pPr>
            <w:r>
              <w:rPr>
                <w:rFonts w:ascii="宋体" w:hAnsi="宋体" w:eastAsia="宋体"/>
                <w:sz w:val="18"/>
              </w:rPr>
              <w:t>主要用途</w:t>
            </w:r>
          </w:p>
        </w:tc>
        <w:tc>
          <w:tcPr>
            <w:tcW w:type="dxa" w:w="2160"/>
            <w:vAlign w:val="center"/>
          </w:tcPr>
          <w:p>
            <w:pPr>
              <w:spacing w:line="240" w:lineRule="auto"/>
            </w:pPr>
            <w:r>
              <w:rPr>
                <w:rFonts w:ascii="宋体" w:hAnsi="宋体" w:eastAsia="宋体"/>
                <w:sz w:val="18"/>
              </w:rPr>
              <w:t>对应指标或方法</w:t>
            </w:r>
          </w:p>
        </w:tc>
      </w:tr>
      <w:tr>
        <w:tc>
          <w:tcPr>
            <w:tcW w:type="dxa" w:w="2160"/>
            <w:vAlign w:val="center"/>
          </w:tcPr>
          <w:p>
            <w:pPr>
              <w:spacing w:line="240" w:lineRule="auto"/>
            </w:pPr>
            <w:r>
              <w:rPr>
                <w:rFonts w:ascii="宋体" w:hAnsi="宋体" w:eastAsia="宋体"/>
                <w:sz w:val="18"/>
              </w:rPr>
              <w:t>人口栅格数据</w:t>
            </w:r>
          </w:p>
        </w:tc>
        <w:tc>
          <w:tcPr>
            <w:tcW w:type="dxa" w:w="2160"/>
            <w:vAlign w:val="center"/>
          </w:tcPr>
          <w:p>
            <w:pPr>
              <w:spacing w:line="240" w:lineRule="auto"/>
            </w:pPr>
            <w:r>
              <w:rPr>
                <w:rFonts w:ascii="宋体" w:hAnsi="宋体" w:eastAsia="宋体"/>
                <w:sz w:val="18"/>
              </w:rPr>
              <w:t>WorldPop 人口栅格数据</w:t>
            </w:r>
          </w:p>
        </w:tc>
        <w:tc>
          <w:tcPr>
            <w:tcW w:type="dxa" w:w="2160"/>
            <w:vAlign w:val="center"/>
          </w:tcPr>
          <w:p>
            <w:pPr>
              <w:spacing w:line="240" w:lineRule="auto"/>
            </w:pPr>
            <w:r>
              <w:rPr>
                <w:rFonts w:ascii="宋体" w:hAnsi="宋体" w:eastAsia="宋体"/>
                <w:sz w:val="18"/>
              </w:rPr>
              <w:t>统计站域人口总量和人口密度</w:t>
            </w:r>
          </w:p>
        </w:tc>
        <w:tc>
          <w:tcPr>
            <w:tcW w:type="dxa" w:w="2160"/>
            <w:vAlign w:val="center"/>
          </w:tcPr>
          <w:p>
            <w:pPr>
              <w:spacing w:line="240" w:lineRule="auto"/>
            </w:pPr>
            <w:r>
              <w:rPr>
                <w:rFonts w:ascii="宋体" w:hAnsi="宋体" w:eastAsia="宋体"/>
                <w:sz w:val="18"/>
              </w:rPr>
              <w:t>人口密度</w:t>
            </w:r>
          </w:p>
        </w:tc>
      </w:tr>
      <w:tr>
        <w:tc>
          <w:tcPr>
            <w:tcW w:type="dxa" w:w="2160"/>
            <w:vAlign w:val="center"/>
          </w:tcPr>
          <w:p>
            <w:pPr>
              <w:spacing w:line="240" w:lineRule="auto"/>
            </w:pPr>
            <w:r>
              <w:rPr>
                <w:rFonts w:ascii="宋体" w:hAnsi="宋体" w:eastAsia="宋体"/>
                <w:sz w:val="18"/>
              </w:rPr>
              <w:t>POI 数据</w:t>
            </w:r>
          </w:p>
        </w:tc>
        <w:tc>
          <w:tcPr>
            <w:tcW w:type="dxa" w:w="2160"/>
            <w:vAlign w:val="center"/>
          </w:tcPr>
          <w:p>
            <w:pPr>
              <w:spacing w:line="240" w:lineRule="auto"/>
            </w:pPr>
            <w:r>
              <w:rPr>
                <w:rFonts w:ascii="宋体" w:hAnsi="宋体" w:eastAsia="宋体"/>
                <w:sz w:val="18"/>
              </w:rPr>
              <w:t>高德地图 API</w:t>
            </w:r>
          </w:p>
        </w:tc>
        <w:tc>
          <w:tcPr>
            <w:tcW w:type="dxa" w:w="2160"/>
            <w:vAlign w:val="center"/>
          </w:tcPr>
          <w:p>
            <w:pPr>
              <w:spacing w:line="240" w:lineRule="auto"/>
            </w:pPr>
            <w:r>
              <w:rPr>
                <w:rFonts w:ascii="宋体" w:hAnsi="宋体" w:eastAsia="宋体"/>
                <w:sz w:val="18"/>
              </w:rPr>
              <w:t>识别住宅、城市零售集群和城市功能类型</w:t>
            </w:r>
          </w:p>
        </w:tc>
        <w:tc>
          <w:tcPr>
            <w:tcW w:type="dxa" w:w="2160"/>
            <w:vAlign w:val="center"/>
          </w:tcPr>
          <w:p>
            <w:pPr>
              <w:spacing w:line="240" w:lineRule="auto"/>
            </w:pPr>
            <w:r>
              <w:rPr>
                <w:rFonts w:ascii="宋体" w:hAnsi="宋体" w:eastAsia="宋体"/>
                <w:sz w:val="18"/>
              </w:rPr>
              <w:t>住宅数量、城市零售集群数量、功能结构混合度</w:t>
            </w:r>
          </w:p>
        </w:tc>
      </w:tr>
      <w:tr>
        <w:tc>
          <w:tcPr>
            <w:tcW w:type="dxa" w:w="2160"/>
            <w:vAlign w:val="center"/>
          </w:tcPr>
          <w:p>
            <w:pPr>
              <w:spacing w:line="240" w:lineRule="auto"/>
            </w:pPr>
            <w:r>
              <w:rPr>
                <w:rFonts w:ascii="宋体" w:hAnsi="宋体" w:eastAsia="宋体"/>
                <w:sz w:val="18"/>
              </w:rPr>
              <w:t>地铁站点数据</w:t>
            </w:r>
          </w:p>
        </w:tc>
        <w:tc>
          <w:tcPr>
            <w:tcW w:type="dxa" w:w="2160"/>
            <w:vAlign w:val="center"/>
          </w:tcPr>
          <w:p>
            <w:pPr>
              <w:spacing w:line="240" w:lineRule="auto"/>
            </w:pPr>
            <w:r>
              <w:rPr>
                <w:rFonts w:ascii="宋体" w:hAnsi="宋体" w:eastAsia="宋体"/>
                <w:sz w:val="18"/>
              </w:rPr>
              <w:t>地铁站点空间数据</w:t>
            </w:r>
          </w:p>
        </w:tc>
        <w:tc>
          <w:tcPr>
            <w:tcW w:type="dxa" w:w="2160"/>
            <w:vAlign w:val="center"/>
          </w:tcPr>
          <w:p>
            <w:pPr>
              <w:spacing w:line="240" w:lineRule="auto"/>
            </w:pPr>
            <w:r>
              <w:rPr>
                <w:rFonts w:ascii="宋体" w:hAnsi="宋体" w:eastAsia="宋体"/>
                <w:sz w:val="18"/>
              </w:rPr>
              <w:t>构建缓冲区，确定候选站点空间位置</w:t>
            </w:r>
          </w:p>
        </w:tc>
        <w:tc>
          <w:tcPr>
            <w:tcW w:type="dxa" w:w="2160"/>
            <w:vAlign w:val="center"/>
          </w:tcPr>
          <w:p>
            <w:pPr>
              <w:spacing w:line="240" w:lineRule="auto"/>
            </w:pPr>
            <w:r>
              <w:rPr>
                <w:rFonts w:ascii="宋体" w:hAnsi="宋体" w:eastAsia="宋体"/>
                <w:sz w:val="18"/>
              </w:rPr>
              <w:t>站域范围划定</w:t>
            </w:r>
          </w:p>
        </w:tc>
      </w:tr>
      <w:tr>
        <w:tc>
          <w:tcPr>
            <w:tcW w:type="dxa" w:w="2160"/>
            <w:vAlign w:val="center"/>
          </w:tcPr>
          <w:p>
            <w:pPr>
              <w:spacing w:line="240" w:lineRule="auto"/>
            </w:pPr>
            <w:r>
              <w:rPr>
                <w:rFonts w:ascii="宋体" w:hAnsi="宋体" w:eastAsia="宋体"/>
                <w:sz w:val="18"/>
              </w:rPr>
              <w:t>地铁线网数据</w:t>
            </w:r>
          </w:p>
        </w:tc>
        <w:tc>
          <w:tcPr>
            <w:tcW w:type="dxa" w:w="2160"/>
            <w:vAlign w:val="center"/>
          </w:tcPr>
          <w:p>
            <w:pPr>
              <w:spacing w:line="240" w:lineRule="auto"/>
            </w:pPr>
            <w:r>
              <w:rPr>
                <w:rFonts w:ascii="宋体" w:hAnsi="宋体" w:eastAsia="宋体"/>
                <w:sz w:val="18"/>
              </w:rPr>
              <w:t>地铁线路与站点连接关系</w:t>
            </w:r>
          </w:p>
        </w:tc>
        <w:tc>
          <w:tcPr>
            <w:tcW w:type="dxa" w:w="2160"/>
            <w:vAlign w:val="center"/>
          </w:tcPr>
          <w:p>
            <w:pPr>
              <w:spacing w:line="240" w:lineRule="auto"/>
            </w:pPr>
            <w:r>
              <w:rPr>
                <w:rFonts w:ascii="宋体" w:hAnsi="宋体" w:eastAsia="宋体"/>
                <w:sz w:val="18"/>
              </w:rPr>
              <w:t>构建地铁网络拓扑结构</w:t>
            </w:r>
          </w:p>
        </w:tc>
        <w:tc>
          <w:tcPr>
            <w:tcW w:type="dxa" w:w="2160"/>
            <w:vAlign w:val="center"/>
          </w:tcPr>
          <w:p>
            <w:pPr>
              <w:spacing w:line="240" w:lineRule="auto"/>
            </w:pPr>
            <w:r>
              <w:rPr>
                <w:rFonts w:ascii="宋体" w:hAnsi="宋体" w:eastAsia="宋体"/>
                <w:sz w:val="18"/>
              </w:rPr>
              <w:t>度中心性、介数中心性、接近中心性、特征向量中心性</w:t>
            </w:r>
          </w:p>
        </w:tc>
      </w:tr>
      <w:tr>
        <w:tc>
          <w:tcPr>
            <w:tcW w:type="dxa" w:w="2160"/>
            <w:vAlign w:val="center"/>
          </w:tcPr>
          <w:p>
            <w:pPr>
              <w:spacing w:line="240" w:lineRule="auto"/>
            </w:pPr>
            <w:r>
              <w:rPr>
                <w:rFonts w:ascii="宋体" w:hAnsi="宋体" w:eastAsia="宋体"/>
                <w:sz w:val="18"/>
              </w:rPr>
              <w:t>行政边界数据</w:t>
            </w:r>
          </w:p>
        </w:tc>
        <w:tc>
          <w:tcPr>
            <w:tcW w:type="dxa" w:w="2160"/>
            <w:vAlign w:val="center"/>
          </w:tcPr>
          <w:p>
            <w:pPr>
              <w:spacing w:line="240" w:lineRule="auto"/>
            </w:pPr>
            <w:r>
              <w:rPr>
                <w:rFonts w:ascii="宋体" w:hAnsi="宋体" w:eastAsia="宋体"/>
                <w:sz w:val="18"/>
              </w:rPr>
              <w:t>研究区行政边界数据</w:t>
            </w:r>
          </w:p>
        </w:tc>
        <w:tc>
          <w:tcPr>
            <w:tcW w:type="dxa" w:w="2160"/>
            <w:vAlign w:val="center"/>
          </w:tcPr>
          <w:p>
            <w:pPr>
              <w:spacing w:line="240" w:lineRule="auto"/>
            </w:pPr>
            <w:r>
              <w:rPr>
                <w:rFonts w:ascii="宋体" w:hAnsi="宋体" w:eastAsia="宋体"/>
                <w:sz w:val="18"/>
              </w:rPr>
              <w:t>限定研究范围，裁剪有效缓冲区</w:t>
            </w:r>
          </w:p>
        </w:tc>
        <w:tc>
          <w:tcPr>
            <w:tcW w:type="dxa" w:w="2160"/>
            <w:vAlign w:val="center"/>
          </w:tcPr>
          <w:p>
            <w:pPr>
              <w:spacing w:line="240" w:lineRule="auto"/>
            </w:pPr>
            <w:r>
              <w:rPr>
                <w:rFonts w:ascii="宋体" w:hAnsi="宋体" w:eastAsia="宋体"/>
                <w:sz w:val="18"/>
              </w:rPr>
              <w:t>有效站域面积计算</w:t>
            </w:r>
          </w:p>
        </w:tc>
      </w:tr>
    </w:tbl>
    <w:p>
      <w:pPr>
        <w:spacing w:line="360" w:lineRule="auto"/>
        <w:ind w:firstLine="480"/>
      </w:pPr>
      <w:r>
        <w:rPr>
          <w:rFonts w:ascii="Times New Roman" w:hAnsi="Times New Roman" w:eastAsia="宋体"/>
          <w:sz w:val="21"/>
        </w:rP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缓冲区能够在站域代表性、末端配送可达性和指标可比性之间取得相对平衡。缓冲半径变化对评价结果的影响可在后续研究中结合多尺度站域范围进一步检验。</w:t>
      </w:r>
    </w:p>
    <w:p>
      <w:pPr>
        <w:spacing w:line="360" w:lineRule="auto"/>
        <w:ind w:firstLine="480"/>
      </w:pPr>
      <w:r>
        <w:rPr>
          <w:rFonts w:ascii="Times New Roman" w:hAnsi="Times New Roman" w:eastAsia="宋体"/>
          <w:sz w:val="21"/>
        </w:rPr>
        <w:t>在具体计算中，设以候选站点 $a_i$ 为中心生成的原始缓冲区为 $B_i^0$，研究区行政边界为 $\Omega$，则站点 $a_i$ 的有效站域范围为：</w:t>
      </w:r>
    </w:p>
    <w:p>
      <w:pPr>
        <w:jc w:val="center"/>
      </w:pPr>
      <w:r>
        <w:rPr>
          <w:rFonts w:ascii="Times New Roman" w:hAnsi="Times New Roman" w:eastAsia="宋体"/>
          <w:sz w:val="21"/>
        </w:rPr>
        <w:t>B_i=B_i^0\cap \Omega</w:t>
      </w:r>
    </w:p>
    <w:p>
      <w:pPr>
        <w:spacing w:line="360" w:lineRule="auto"/>
        <w:ind w:firstLine="480"/>
      </w:pPr>
      <w:r>
        <w:rPr>
          <w:rFonts w:ascii="Times New Roman" w:hAnsi="Times New Roman" w:eastAsia="宋体"/>
          <w:sz w:val="21"/>
        </w:rPr>
        <w:t>有效站域面积为：</w:t>
      </w:r>
    </w:p>
    <w:p>
      <w:pPr>
        <w:jc w:val="center"/>
      </w:pPr>
      <w:r>
        <w:rPr>
          <w:rFonts w:ascii="Times New Roman" w:hAnsi="Times New Roman" w:eastAsia="宋体"/>
          <w:sz w:val="21"/>
        </w:rPr>
        <w:t>S_i=\operatorname{Area}(B_i)</w:t>
      </w:r>
    </w:p>
    <w:p>
      <w:pPr>
        <w:spacing w:line="360" w:lineRule="auto"/>
        <w:ind w:firstLine="480"/>
      </w:pPr>
      <w:r>
        <w:rPr>
          <w:rFonts w:ascii="Times New Roman" w:hAnsi="Times New Roman" w:eastAsia="宋体"/>
          <w:sz w:val="21"/>
        </w:rPr>
        <w:t>通过将原始缓冲区与研究区行政边界相交，可以避免缓冲区超出研究范围后引入无关统计对象，并保证人口栅格、POI 和功能要素统计均限定在有效研究区域内部。</w:t>
      </w:r>
    </w:p>
    <w:p>
      <w:pPr>
        <w:spacing w:line="360" w:lineRule="auto"/>
        <w:ind w:firstLine="480"/>
      </w:pPr>
      <w:r>
        <w:rPr>
          <w:rFonts w:ascii="Times New Roman" w:hAnsi="Times New Roman" w:eastAsia="宋体"/>
          <w:sz w:val="21"/>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Times New Roman" w:hAnsi="Times New Roman" w:eastAsia="宋体"/>
          <w:sz w:val="21"/>
        </w:rPr>
        <w:t>功能结构混合度主要用于刻画站点周边不同城市功能类型的多样性与均衡性。由于该指标需要基于 POI 数据进行功能类别识别，本文结合高德地图 POI 分类体系及地铁物流配送需求特征，将站域范围内的城市功能要素划分为居住类、办公类、商业消费类、科教文化类和生活服务类五类。不同功能类别所对应的物流需求类型和时段特征存在差异，如表 3-3 所示。</w:t>
      </w:r>
    </w:p>
    <w:p>
      <w:pPr>
        <w:spacing w:line="360" w:lineRule="auto"/>
        <w:ind w:firstLine="480"/>
      </w:pPr>
      <w:r>
        <w:rPr>
          <w:rFonts w:ascii="Times New Roman" w:hAnsi="Times New Roman" w:eastAsia="宋体"/>
          <w:b/>
          <w:sz w:val="21"/>
        </w:rPr>
        <w:t>表 3-3 功能结构混合度的功能类别划分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功能类别</w:t>
            </w:r>
          </w:p>
        </w:tc>
        <w:tc>
          <w:tcPr>
            <w:tcW w:type="dxa" w:w="2880"/>
            <w:vAlign w:val="center"/>
          </w:tcPr>
          <w:p>
            <w:pPr>
              <w:spacing w:line="240" w:lineRule="auto"/>
            </w:pPr>
            <w:r>
              <w:rPr>
                <w:rFonts w:ascii="宋体" w:hAnsi="宋体" w:eastAsia="宋体"/>
                <w:sz w:val="18"/>
              </w:rPr>
              <w:t>POI 分类口径</w:t>
            </w:r>
          </w:p>
        </w:tc>
        <w:tc>
          <w:tcPr>
            <w:tcW w:type="dxa" w:w="2880"/>
            <w:vAlign w:val="center"/>
          </w:tcPr>
          <w:p>
            <w:pPr>
              <w:spacing w:line="240" w:lineRule="auto"/>
            </w:pPr>
            <w:r>
              <w:rPr>
                <w:rFonts w:ascii="宋体" w:hAnsi="宋体" w:eastAsia="宋体"/>
                <w:sz w:val="18"/>
              </w:rPr>
              <w:t>需求特征</w:t>
            </w:r>
          </w:p>
        </w:tc>
      </w:tr>
      <w:tr>
        <w:tc>
          <w:tcPr>
            <w:tcW w:type="dxa" w:w="2880"/>
            <w:vAlign w:val="center"/>
          </w:tcPr>
          <w:p>
            <w:pPr>
              <w:spacing w:line="240" w:lineRule="auto"/>
            </w:pPr>
            <w:r>
              <w:rPr>
                <w:rFonts w:ascii="宋体" w:hAnsi="宋体" w:eastAsia="宋体"/>
                <w:sz w:val="18"/>
              </w:rPr>
              <w:t>居住类</w:t>
            </w:r>
          </w:p>
        </w:tc>
        <w:tc>
          <w:tcPr>
            <w:tcW w:type="dxa" w:w="2880"/>
            <w:vAlign w:val="center"/>
          </w:tcPr>
          <w:p>
            <w:pPr>
              <w:spacing w:line="240" w:lineRule="auto"/>
            </w:pPr>
            <w:r>
              <w:rPr>
                <w:rFonts w:ascii="宋体" w:hAnsi="宋体" w:eastAsia="宋体"/>
                <w:sz w:val="18"/>
              </w:rPr>
              <w:t>商务住宅等居住相关 POI</w:t>
            </w:r>
          </w:p>
        </w:tc>
        <w:tc>
          <w:tcPr>
            <w:tcW w:type="dxa" w:w="2880"/>
            <w:vAlign w:val="center"/>
          </w:tcPr>
          <w:p>
            <w:pPr>
              <w:spacing w:line="240" w:lineRule="auto"/>
            </w:pPr>
            <w:r>
              <w:rPr>
                <w:rFonts w:ascii="宋体" w:hAnsi="宋体" w:eastAsia="宋体"/>
                <w:sz w:val="18"/>
              </w:rPr>
              <w:t>B2C 快递、周末及晚间配送需求较强</w:t>
            </w:r>
          </w:p>
        </w:tc>
      </w:tr>
      <w:tr>
        <w:tc>
          <w:tcPr>
            <w:tcW w:type="dxa" w:w="2880"/>
            <w:vAlign w:val="center"/>
          </w:tcPr>
          <w:p>
            <w:pPr>
              <w:spacing w:line="240" w:lineRule="auto"/>
            </w:pPr>
            <w:r>
              <w:rPr>
                <w:rFonts w:ascii="宋体" w:hAnsi="宋体" w:eastAsia="宋体"/>
                <w:sz w:val="18"/>
              </w:rPr>
              <w:t>办公类</w:t>
            </w:r>
          </w:p>
        </w:tc>
        <w:tc>
          <w:tcPr>
            <w:tcW w:type="dxa" w:w="2880"/>
            <w:vAlign w:val="center"/>
          </w:tcPr>
          <w:p>
            <w:pPr>
              <w:spacing w:line="240" w:lineRule="auto"/>
            </w:pPr>
            <w:r>
              <w:rPr>
                <w:rFonts w:ascii="宋体" w:hAnsi="宋体" w:eastAsia="宋体"/>
                <w:sz w:val="18"/>
              </w:rPr>
              <w:t>公司企业、政府机构及社会团体等 POI</w:t>
            </w:r>
          </w:p>
        </w:tc>
        <w:tc>
          <w:tcPr>
            <w:tcW w:type="dxa" w:w="2880"/>
            <w:vAlign w:val="center"/>
          </w:tcPr>
          <w:p>
            <w:pPr>
              <w:spacing w:line="240" w:lineRule="auto"/>
            </w:pPr>
            <w:r>
              <w:rPr>
                <w:rFonts w:ascii="宋体" w:hAnsi="宋体" w:eastAsia="宋体"/>
                <w:sz w:val="18"/>
              </w:rPr>
              <w:t>B2B 商务件、工作日白天配送需求较强</w:t>
            </w:r>
          </w:p>
        </w:tc>
      </w:tr>
      <w:tr>
        <w:tc>
          <w:tcPr>
            <w:tcW w:type="dxa" w:w="2880"/>
            <w:vAlign w:val="center"/>
          </w:tcPr>
          <w:p>
            <w:pPr>
              <w:spacing w:line="240" w:lineRule="auto"/>
            </w:pPr>
            <w:r>
              <w:rPr>
                <w:rFonts w:ascii="宋体" w:hAnsi="宋体" w:eastAsia="宋体"/>
                <w:sz w:val="18"/>
              </w:rPr>
              <w:t>商业消费类</w:t>
            </w:r>
          </w:p>
        </w:tc>
        <w:tc>
          <w:tcPr>
            <w:tcW w:type="dxa" w:w="2880"/>
            <w:vAlign w:val="center"/>
          </w:tcPr>
          <w:p>
            <w:pPr>
              <w:spacing w:line="240" w:lineRule="auto"/>
            </w:pPr>
            <w:r>
              <w:rPr>
                <w:rFonts w:ascii="宋体" w:hAnsi="宋体" w:eastAsia="宋体"/>
                <w:sz w:val="18"/>
              </w:rPr>
              <w:t>购物服务、餐饮服务等 POI</w:t>
            </w:r>
          </w:p>
        </w:tc>
        <w:tc>
          <w:tcPr>
            <w:tcW w:type="dxa" w:w="2880"/>
            <w:vAlign w:val="center"/>
          </w:tcPr>
          <w:p>
            <w:pPr>
              <w:spacing w:line="240" w:lineRule="auto"/>
            </w:pPr>
            <w:r>
              <w:rPr>
                <w:rFonts w:ascii="宋体" w:hAnsi="宋体" w:eastAsia="宋体"/>
                <w:sz w:val="18"/>
              </w:rPr>
              <w:t>商圈补货、即时配送、退换货需求较强</w:t>
            </w:r>
          </w:p>
        </w:tc>
      </w:tr>
      <w:tr>
        <w:tc>
          <w:tcPr>
            <w:tcW w:type="dxa" w:w="2880"/>
            <w:vAlign w:val="center"/>
          </w:tcPr>
          <w:p>
            <w:pPr>
              <w:spacing w:line="240" w:lineRule="auto"/>
            </w:pPr>
            <w:r>
              <w:rPr>
                <w:rFonts w:ascii="宋体" w:hAnsi="宋体" w:eastAsia="宋体"/>
                <w:sz w:val="18"/>
              </w:rPr>
              <w:t>科教文化类</w:t>
            </w:r>
          </w:p>
        </w:tc>
        <w:tc>
          <w:tcPr>
            <w:tcW w:type="dxa" w:w="2880"/>
            <w:vAlign w:val="center"/>
          </w:tcPr>
          <w:p>
            <w:pPr>
              <w:spacing w:line="240" w:lineRule="auto"/>
            </w:pPr>
            <w:r>
              <w:rPr>
                <w:rFonts w:ascii="宋体" w:hAnsi="宋体" w:eastAsia="宋体"/>
                <w:sz w:val="18"/>
              </w:rPr>
              <w:t>科教文化服务等 POI</w:t>
            </w:r>
          </w:p>
        </w:tc>
        <w:tc>
          <w:tcPr>
            <w:tcW w:type="dxa" w:w="2880"/>
            <w:vAlign w:val="center"/>
          </w:tcPr>
          <w:p>
            <w:pPr>
              <w:spacing w:line="240" w:lineRule="auto"/>
            </w:pPr>
            <w:r>
              <w:rPr>
                <w:rFonts w:ascii="宋体" w:hAnsi="宋体" w:eastAsia="宋体"/>
                <w:sz w:val="18"/>
              </w:rPr>
              <w:t>书籍、设备、档案等稳定配送需求</w:t>
            </w:r>
          </w:p>
        </w:tc>
      </w:tr>
      <w:tr>
        <w:tc>
          <w:tcPr>
            <w:tcW w:type="dxa" w:w="2880"/>
            <w:vAlign w:val="center"/>
          </w:tcPr>
          <w:p>
            <w:pPr>
              <w:spacing w:line="240" w:lineRule="auto"/>
            </w:pPr>
            <w:r>
              <w:rPr>
                <w:rFonts w:ascii="宋体" w:hAnsi="宋体" w:eastAsia="宋体"/>
                <w:sz w:val="18"/>
              </w:rPr>
              <w:t>生活服务类</w:t>
            </w:r>
          </w:p>
        </w:tc>
        <w:tc>
          <w:tcPr>
            <w:tcW w:type="dxa" w:w="2880"/>
            <w:vAlign w:val="center"/>
          </w:tcPr>
          <w:p>
            <w:pPr>
              <w:spacing w:line="240" w:lineRule="auto"/>
            </w:pPr>
            <w:r>
              <w:rPr>
                <w:rFonts w:ascii="宋体" w:hAnsi="宋体" w:eastAsia="宋体"/>
                <w:sz w:val="18"/>
              </w:rPr>
              <w:t>生活服务、医疗保健服务、金融保险服务、住宿服务等 POI</w:t>
            </w:r>
          </w:p>
        </w:tc>
        <w:tc>
          <w:tcPr>
            <w:tcW w:type="dxa" w:w="2880"/>
            <w:vAlign w:val="center"/>
          </w:tcPr>
          <w:p>
            <w:pPr>
              <w:spacing w:line="240" w:lineRule="auto"/>
            </w:pPr>
            <w:r>
              <w:rPr>
                <w:rFonts w:ascii="宋体" w:hAnsi="宋体" w:eastAsia="宋体"/>
                <w:sz w:val="18"/>
              </w:rPr>
              <w:t>医药、票据、维修、酒店物资等多元需求</w:t>
            </w:r>
          </w:p>
        </w:tc>
      </w:tr>
    </w:tbl>
    <w:p>
      <w:pPr>
        <w:spacing w:line="360" w:lineRule="auto"/>
        <w:ind w:firstLine="480"/>
      </w:pPr>
      <w:r>
        <w:rPr>
          <w:rFonts w:ascii="Times New Roman" w:hAnsi="Times New Roman" w:eastAsia="宋体"/>
          <w:sz w:val="21"/>
        </w:rPr>
        <w:t>在具体计算中，首先依据高德地图 POI 的分类编码、二级类别和名称字段对站域范围内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一站域由单一功能类型主导，则其功能结构混合度较低，说明物流需求可能具有较强的时段性或单一性。</w:t>
      </w:r>
    </w:p>
    <w:p>
      <w:pPr>
        <w:pStyle w:val="Heading3"/>
      </w:pPr>
      <w:r>
        <w:rPr>
          <w:rFonts w:ascii="Times New Roman" w:hAnsi="Times New Roman" w:eastAsia="宋体"/>
          <w:sz w:val="21"/>
        </w:rPr>
        <w:t>3.3.3 基于缓冲区的指标计算</w:t>
      </w:r>
    </w:p>
    <w:p>
      <w:pPr>
        <w:spacing w:line="360" w:lineRule="auto"/>
        <w:ind w:firstLine="480"/>
      </w:pPr>
      <w:r>
        <w:rPr>
          <w:rFonts w:ascii="Times New Roman" w:hAnsi="Times New Roman" w:eastAsia="宋体"/>
          <w:sz w:val="21"/>
        </w:rPr>
        <w:t>在完成人口栅格、POI 和行政边界等空间数据的坐标统一、边界裁剪与分类清洗后，可基于有效站域缓冲区对需求潜力指标进行计算。</w:t>
      </w:r>
    </w:p>
    <w:p>
      <w:pPr>
        <w:spacing w:line="360" w:lineRule="auto"/>
        <w:ind w:firstLine="480"/>
      </w:pPr>
      <w:r>
        <w:rPr>
          <w:rFonts w:ascii="Times New Roman" w:hAnsi="Times New Roman" w:eastAsia="宋体"/>
          <w:sz w:val="21"/>
        </w:rPr>
        <w:t>在人口密度指标计算方面，设 WorldPop 人口栅格像元集合为 $G$，像元 $g$ 的人口值为 $Pop_g$，像元空间范围为 $A_g$，站点 $a_i$ 的有效站域范围为 $B_i$。考虑到站域边界对栅格可能产生部分截断，本文采用面积加权叠置方法计算站域人口总量。像元 $g$ 对站域 $B_i$ 的贡献权重为：</w:t>
      </w:r>
    </w:p>
    <w:p>
      <w:pPr>
        <w:jc w:val="center"/>
      </w:pPr>
      <w:r>
        <w:rPr>
          <w:rFonts w:ascii="Times New Roman" w:hAnsi="Times New Roman" w:eastAsia="宋体"/>
          <w:sz w:val="21"/>
        </w:rPr>
        <w:t>\theta_{ig}=\frac{\operatorname{Area}(A_g\cap B_i)}{\operatorname{Area}(A_g)}</w:t>
      </w:r>
    </w:p>
    <w:p>
      <w:pPr>
        <w:spacing w:line="360" w:lineRule="auto"/>
        <w:ind w:firstLine="480"/>
      </w:pPr>
      <w:r>
        <w:rPr>
          <w:rFonts w:ascii="Times New Roman" w:hAnsi="Times New Roman" w:eastAsia="宋体"/>
          <w:sz w:val="21"/>
        </w:rPr>
        <w:t>则站点 $a_i$ 的站域人口总量为：</w:t>
      </w:r>
    </w:p>
    <w:p>
      <w:pPr>
        <w:jc w:val="center"/>
      </w:pPr>
      <w:r>
        <w:rPr>
          <w:rFonts w:ascii="Times New Roman" w:hAnsi="Times New Roman" w:eastAsia="宋体"/>
          <w:sz w:val="21"/>
        </w:rPr>
        <w:t>P_i=\sum_{g\in G}Pop_g\theta_{ig}</w:t>
      </w:r>
    </w:p>
    <w:p>
      <w:pPr>
        <w:spacing w:line="360" w:lineRule="auto"/>
        <w:ind w:firstLine="480"/>
      </w:pPr>
      <w:r>
        <w:rPr>
          <w:rFonts w:ascii="Times New Roman" w:hAnsi="Times New Roman" w:eastAsia="宋体"/>
          <w:sz w:val="21"/>
        </w:rPr>
        <w:t>在此基础上，站点 $a_i$ 的人口密度为：</w:t>
      </w:r>
    </w:p>
    <w:p>
      <w:pPr>
        <w:jc w:val="center"/>
      </w:pPr>
      <w:r>
        <w:rPr>
          <w:rFonts w:ascii="Times New Roman" w:hAnsi="Times New Roman" w:eastAsia="宋体"/>
          <w:sz w:val="21"/>
        </w:rPr>
        <w:t>PD_i=\frac{P_i}{S_i}</w:t>
      </w:r>
    </w:p>
    <w:p>
      <w:pPr>
        <w:spacing w:line="360" w:lineRule="auto"/>
        <w:ind w:firstLine="480"/>
      </w:pPr>
      <w:r>
        <w:rPr>
          <w:rFonts w:ascii="Times New Roman" w:hAnsi="Times New Roman" w:eastAsia="宋体"/>
          <w:sz w:val="21"/>
        </w:rPr>
        <w:t>住宅数量、城市零售集群数量和功能结构混合度则基于有效站域范围内的 POI 数据进行计算。其中，住宅数量通过统计站域范围内住宅类 POI 或住宅空间对象数量得到；城市零售集群数量通过统计站域范围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pPr>
        <w:pStyle w:val="Heading2"/>
      </w:pPr>
      <w:r>
        <w:rPr>
          <w:rFonts w:ascii="Times New Roman" w:hAnsi="Times New Roman" w:eastAsia="宋体"/>
          <w:sz w:val="21"/>
        </w:rPr>
        <w:t>3.4 地铁物流配送转运点重要度综合评价模型构建</w:t>
      </w:r>
    </w:p>
    <w:p>
      <w:pPr>
        <w:pStyle w:val="Heading3"/>
      </w:pPr>
      <w:r>
        <w:rPr>
          <w:rFonts w:ascii="Times New Roman" w:hAnsi="Times New Roman" w:eastAsia="宋体"/>
          <w:sz w:val="21"/>
        </w:rPr>
        <w:t>3.4.1 多准则决策方法比较与选择</w:t>
      </w:r>
    </w:p>
    <w:p>
      <w:pPr>
        <w:spacing w:line="360" w:lineRule="auto"/>
        <w:ind w:firstLine="480"/>
      </w:pPr>
      <w:r>
        <w:rPr>
          <w:rFonts w:ascii="Times New Roman" w:hAnsi="Times New Roman" w:eastAsia="宋体"/>
          <w:sz w:val="21"/>
        </w:rPr>
        <w:t>地铁物流配送转运点评价涉及多个指标，且不同指标在量纲、取值范围和评价含义上存在差异，属于典型的多准则决策问题。常见的多准则决策方法包括层次分析法、熵权法、CRITIC 方法、灰色关联分析法、TOPSIS 方法、VIKOR 方法和主成分分析等。不同方法的适用重点和局限性存在差异，如表 3-4 所示。</w:t>
      </w:r>
    </w:p>
    <w:p>
      <w:pPr>
        <w:spacing w:line="360" w:lineRule="auto"/>
        <w:ind w:firstLine="480"/>
      </w:pPr>
      <w:r>
        <w:rPr>
          <w:rFonts w:ascii="Times New Roman" w:hAnsi="Times New Roman" w:eastAsia="宋体"/>
          <w:b/>
          <w:sz w:val="21"/>
        </w:rPr>
        <w:t>表 3-4 常用多准则决策方法比较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方法</w:t>
            </w:r>
          </w:p>
        </w:tc>
        <w:tc>
          <w:tcPr>
            <w:tcW w:type="dxa" w:w="2160"/>
            <w:vAlign w:val="center"/>
          </w:tcPr>
          <w:p>
            <w:pPr>
              <w:spacing w:line="240" w:lineRule="auto"/>
            </w:pPr>
            <w:r>
              <w:rPr>
                <w:rFonts w:ascii="宋体" w:hAnsi="宋体" w:eastAsia="宋体"/>
                <w:sz w:val="18"/>
              </w:rPr>
              <w:t>主要特点</w:t>
            </w:r>
          </w:p>
        </w:tc>
        <w:tc>
          <w:tcPr>
            <w:tcW w:type="dxa" w:w="2160"/>
            <w:vAlign w:val="center"/>
          </w:tcPr>
          <w:p>
            <w:pPr>
              <w:spacing w:line="240" w:lineRule="auto"/>
            </w:pPr>
            <w:r>
              <w:rPr>
                <w:rFonts w:ascii="宋体" w:hAnsi="宋体" w:eastAsia="宋体"/>
                <w:sz w:val="18"/>
              </w:rPr>
              <w:t>局限性</w:t>
            </w:r>
          </w:p>
        </w:tc>
        <w:tc>
          <w:tcPr>
            <w:tcW w:type="dxa" w:w="2160"/>
            <w:vAlign w:val="center"/>
          </w:tcPr>
          <w:p>
            <w:pPr>
              <w:spacing w:line="240" w:lineRule="auto"/>
            </w:pPr>
            <w:r>
              <w:rPr>
                <w:rFonts w:ascii="宋体" w:hAnsi="宋体" w:eastAsia="宋体"/>
                <w:sz w:val="18"/>
              </w:rPr>
              <w:t>与本文评价任务的适配性</w:t>
            </w:r>
          </w:p>
        </w:tc>
      </w:tr>
      <w:tr>
        <w:tc>
          <w:tcPr>
            <w:tcW w:type="dxa" w:w="2160"/>
            <w:vAlign w:val="center"/>
          </w:tcPr>
          <w:p>
            <w:pPr>
              <w:spacing w:line="240" w:lineRule="auto"/>
            </w:pPr>
            <w:r>
              <w:rPr>
                <w:rFonts w:ascii="宋体" w:hAnsi="宋体" w:eastAsia="宋体"/>
                <w:sz w:val="18"/>
              </w:rPr>
              <w:t>层次分析法</w:t>
            </w:r>
          </w:p>
        </w:tc>
        <w:tc>
          <w:tcPr>
            <w:tcW w:type="dxa" w:w="2160"/>
            <w:vAlign w:val="center"/>
          </w:tcPr>
          <w:p>
            <w:pPr>
              <w:spacing w:line="240" w:lineRule="auto"/>
            </w:pPr>
            <w:r>
              <w:rPr>
                <w:rFonts w:ascii="宋体" w:hAnsi="宋体" w:eastAsia="宋体"/>
                <w:sz w:val="18"/>
              </w:rPr>
              <w:t>能够引入专家判断，适合层级结构清晰的评价问题</w:t>
            </w:r>
          </w:p>
        </w:tc>
        <w:tc>
          <w:tcPr>
            <w:tcW w:type="dxa" w:w="2160"/>
            <w:vAlign w:val="center"/>
          </w:tcPr>
          <w:p>
            <w:pPr>
              <w:spacing w:line="240" w:lineRule="auto"/>
            </w:pPr>
            <w:r>
              <w:rPr>
                <w:rFonts w:ascii="宋体" w:hAnsi="宋体" w:eastAsia="宋体"/>
                <w:sz w:val="18"/>
              </w:rPr>
              <w:t>主观性较强，权重受专家偏好影响</w:t>
            </w:r>
          </w:p>
        </w:tc>
        <w:tc>
          <w:tcPr>
            <w:tcW w:type="dxa" w:w="2160"/>
            <w:vAlign w:val="center"/>
          </w:tcPr>
          <w:p>
            <w:pPr>
              <w:spacing w:line="240" w:lineRule="auto"/>
            </w:pPr>
            <w:r>
              <w:rPr>
                <w:rFonts w:ascii="宋体" w:hAnsi="宋体" w:eastAsia="宋体"/>
                <w:sz w:val="18"/>
              </w:rPr>
              <w:t>可解释性较强，但客观性不足</w:t>
            </w:r>
          </w:p>
        </w:tc>
      </w:tr>
      <w:tr>
        <w:tc>
          <w:tcPr>
            <w:tcW w:type="dxa" w:w="2160"/>
            <w:vAlign w:val="center"/>
          </w:tcPr>
          <w:p>
            <w:pPr>
              <w:spacing w:line="240" w:lineRule="auto"/>
            </w:pPr>
            <w:r>
              <w:rPr>
                <w:rFonts w:ascii="宋体" w:hAnsi="宋体" w:eastAsia="宋体"/>
                <w:sz w:val="18"/>
              </w:rPr>
              <w:t>熵权法</w:t>
            </w:r>
          </w:p>
        </w:tc>
        <w:tc>
          <w:tcPr>
            <w:tcW w:type="dxa" w:w="2160"/>
            <w:vAlign w:val="center"/>
          </w:tcPr>
          <w:p>
            <w:pPr>
              <w:spacing w:line="240" w:lineRule="auto"/>
            </w:pPr>
            <w:r>
              <w:rPr>
                <w:rFonts w:ascii="宋体" w:hAnsi="宋体" w:eastAsia="宋体"/>
                <w:sz w:val="18"/>
              </w:rPr>
              <w:t>根据指标离散程度确定权重，计算简便</w:t>
            </w:r>
          </w:p>
        </w:tc>
        <w:tc>
          <w:tcPr>
            <w:tcW w:type="dxa" w:w="2160"/>
            <w:vAlign w:val="center"/>
          </w:tcPr>
          <w:p>
            <w:pPr>
              <w:spacing w:line="240" w:lineRule="auto"/>
            </w:pPr>
            <w:r>
              <w:rPr>
                <w:rFonts w:ascii="宋体" w:hAnsi="宋体" w:eastAsia="宋体"/>
                <w:sz w:val="18"/>
              </w:rPr>
              <w:t>对指标相关性和信息冗余考虑不足</w:t>
            </w:r>
          </w:p>
        </w:tc>
        <w:tc>
          <w:tcPr>
            <w:tcW w:type="dxa" w:w="2160"/>
            <w:vAlign w:val="center"/>
          </w:tcPr>
          <w:p>
            <w:pPr>
              <w:spacing w:line="240" w:lineRule="auto"/>
            </w:pPr>
            <w:r>
              <w:rPr>
                <w:rFonts w:ascii="宋体" w:hAnsi="宋体" w:eastAsia="宋体"/>
                <w:sz w:val="18"/>
              </w:rPr>
              <w:t>可作为基础方法，但难以处理中心性指标共线性</w:t>
            </w:r>
          </w:p>
        </w:tc>
      </w:tr>
      <w:tr>
        <w:tc>
          <w:tcPr>
            <w:tcW w:type="dxa" w:w="2160"/>
            <w:vAlign w:val="center"/>
          </w:tcPr>
          <w:p>
            <w:pPr>
              <w:spacing w:line="240" w:lineRule="auto"/>
            </w:pPr>
            <w:r>
              <w:rPr>
                <w:rFonts w:ascii="宋体" w:hAnsi="宋体" w:eastAsia="宋体"/>
                <w:sz w:val="18"/>
              </w:rPr>
              <w:t>CRITIC 方法</w:t>
            </w:r>
          </w:p>
        </w:tc>
        <w:tc>
          <w:tcPr>
            <w:tcW w:type="dxa" w:w="2160"/>
            <w:vAlign w:val="center"/>
          </w:tcPr>
          <w:p>
            <w:pPr>
              <w:spacing w:line="240" w:lineRule="auto"/>
            </w:pPr>
            <w:r>
              <w:rPr>
                <w:rFonts w:ascii="宋体" w:hAnsi="宋体" w:eastAsia="宋体"/>
                <w:sz w:val="18"/>
              </w:rPr>
              <w:t>同时考虑指标变异度和指标冲突性</w:t>
            </w:r>
          </w:p>
        </w:tc>
        <w:tc>
          <w:tcPr>
            <w:tcW w:type="dxa" w:w="2160"/>
            <w:vAlign w:val="center"/>
          </w:tcPr>
          <w:p>
            <w:pPr>
              <w:spacing w:line="240" w:lineRule="auto"/>
            </w:pPr>
            <w:r>
              <w:rPr>
                <w:rFonts w:ascii="宋体" w:hAnsi="宋体" w:eastAsia="宋体"/>
                <w:sz w:val="18"/>
              </w:rPr>
              <w:t>需要计算指标相关关系，对数据质量有要求</w:t>
            </w:r>
          </w:p>
        </w:tc>
        <w:tc>
          <w:tcPr>
            <w:tcW w:type="dxa" w:w="2160"/>
            <w:vAlign w:val="center"/>
          </w:tcPr>
          <w:p>
            <w:pPr>
              <w:spacing w:line="240" w:lineRule="auto"/>
            </w:pPr>
            <w:r>
              <w:rPr>
                <w:rFonts w:ascii="宋体" w:hAnsi="宋体" w:eastAsia="宋体"/>
                <w:sz w:val="18"/>
              </w:rPr>
              <w:t>适合网络结构指标与需求潜力指标并存的评价情境</w:t>
            </w:r>
          </w:p>
        </w:tc>
      </w:tr>
      <w:tr>
        <w:tc>
          <w:tcPr>
            <w:tcW w:type="dxa" w:w="2160"/>
            <w:vAlign w:val="center"/>
          </w:tcPr>
          <w:p>
            <w:pPr>
              <w:spacing w:line="240" w:lineRule="auto"/>
            </w:pPr>
            <w:r>
              <w:rPr>
                <w:rFonts w:ascii="宋体" w:hAnsi="宋体" w:eastAsia="宋体"/>
                <w:sz w:val="18"/>
              </w:rPr>
              <w:t>灰色关联分析法</w:t>
            </w:r>
          </w:p>
        </w:tc>
        <w:tc>
          <w:tcPr>
            <w:tcW w:type="dxa" w:w="2160"/>
            <w:vAlign w:val="center"/>
          </w:tcPr>
          <w:p>
            <w:pPr>
              <w:spacing w:line="240" w:lineRule="auto"/>
            </w:pPr>
            <w:r>
              <w:rPr>
                <w:rFonts w:ascii="宋体" w:hAnsi="宋体" w:eastAsia="宋体"/>
                <w:sz w:val="18"/>
              </w:rPr>
              <w:t>能够衡量评价对象与参考序列的关联程度</w:t>
            </w:r>
          </w:p>
        </w:tc>
        <w:tc>
          <w:tcPr>
            <w:tcW w:type="dxa" w:w="2160"/>
            <w:vAlign w:val="center"/>
          </w:tcPr>
          <w:p>
            <w:pPr>
              <w:spacing w:line="240" w:lineRule="auto"/>
            </w:pPr>
            <w:r>
              <w:rPr>
                <w:rFonts w:ascii="宋体" w:hAnsi="宋体" w:eastAsia="宋体"/>
                <w:sz w:val="18"/>
              </w:rPr>
              <w:t>参考序列设定会影响评价结果</w:t>
            </w:r>
          </w:p>
        </w:tc>
        <w:tc>
          <w:tcPr>
            <w:tcW w:type="dxa" w:w="2160"/>
            <w:vAlign w:val="center"/>
          </w:tcPr>
          <w:p>
            <w:pPr>
              <w:spacing w:line="240" w:lineRule="auto"/>
            </w:pPr>
            <w:r>
              <w:rPr>
                <w:rFonts w:ascii="宋体" w:hAnsi="宋体" w:eastAsia="宋体"/>
                <w:sz w:val="18"/>
              </w:rPr>
              <w:t>可用于相似性评价，但对权重和理想解刻画不足</w:t>
            </w:r>
          </w:p>
        </w:tc>
      </w:tr>
      <w:tr>
        <w:tc>
          <w:tcPr>
            <w:tcW w:type="dxa" w:w="2160"/>
            <w:vAlign w:val="center"/>
          </w:tcPr>
          <w:p>
            <w:pPr>
              <w:spacing w:line="240" w:lineRule="auto"/>
            </w:pPr>
            <w:r>
              <w:rPr>
                <w:rFonts w:ascii="宋体" w:hAnsi="宋体" w:eastAsia="宋体"/>
                <w:sz w:val="18"/>
              </w:rPr>
              <w:t>TOPSIS 方法</w:t>
            </w:r>
          </w:p>
        </w:tc>
        <w:tc>
          <w:tcPr>
            <w:tcW w:type="dxa" w:w="2160"/>
            <w:vAlign w:val="center"/>
          </w:tcPr>
          <w:p>
            <w:pPr>
              <w:spacing w:line="240" w:lineRule="auto"/>
            </w:pPr>
            <w:r>
              <w:rPr>
                <w:rFonts w:ascii="宋体" w:hAnsi="宋体" w:eastAsia="宋体"/>
                <w:sz w:val="18"/>
              </w:rPr>
              <w:t>根据与理想解的距离进行排序，结果直观</w:t>
            </w:r>
          </w:p>
        </w:tc>
        <w:tc>
          <w:tcPr>
            <w:tcW w:type="dxa" w:w="2160"/>
            <w:vAlign w:val="center"/>
          </w:tcPr>
          <w:p>
            <w:pPr>
              <w:spacing w:line="240" w:lineRule="auto"/>
            </w:pPr>
            <w:r>
              <w:rPr>
                <w:rFonts w:ascii="宋体" w:hAnsi="宋体" w:eastAsia="宋体"/>
                <w:sz w:val="18"/>
              </w:rPr>
              <w:t>权重需由其他方法确定</w:t>
            </w:r>
          </w:p>
        </w:tc>
        <w:tc>
          <w:tcPr>
            <w:tcW w:type="dxa" w:w="2160"/>
            <w:vAlign w:val="center"/>
          </w:tcPr>
          <w:p>
            <w:pPr>
              <w:spacing w:line="240" w:lineRule="auto"/>
            </w:pPr>
            <w:r>
              <w:rPr>
                <w:rFonts w:ascii="宋体" w:hAnsi="宋体" w:eastAsia="宋体"/>
                <w:sz w:val="18"/>
              </w:rPr>
              <w:t>适合作为综合排序工具</w:t>
            </w:r>
          </w:p>
        </w:tc>
      </w:tr>
      <w:tr>
        <w:tc>
          <w:tcPr>
            <w:tcW w:type="dxa" w:w="2160"/>
            <w:vAlign w:val="center"/>
          </w:tcPr>
          <w:p>
            <w:pPr>
              <w:spacing w:line="240" w:lineRule="auto"/>
            </w:pPr>
            <w:r>
              <w:rPr>
                <w:rFonts w:ascii="宋体" w:hAnsi="宋体" w:eastAsia="宋体"/>
                <w:sz w:val="18"/>
              </w:rPr>
              <w:t>VIKOR 方法</w:t>
            </w:r>
          </w:p>
        </w:tc>
        <w:tc>
          <w:tcPr>
            <w:tcW w:type="dxa" w:w="2160"/>
            <w:vAlign w:val="center"/>
          </w:tcPr>
          <w:p>
            <w:pPr>
              <w:spacing w:line="240" w:lineRule="auto"/>
            </w:pPr>
            <w:r>
              <w:rPr>
                <w:rFonts w:ascii="宋体" w:hAnsi="宋体" w:eastAsia="宋体"/>
                <w:sz w:val="18"/>
              </w:rPr>
              <w:t>强调群体效用与个体遗憾的折中</w:t>
            </w:r>
          </w:p>
        </w:tc>
        <w:tc>
          <w:tcPr>
            <w:tcW w:type="dxa" w:w="2160"/>
            <w:vAlign w:val="center"/>
          </w:tcPr>
          <w:p>
            <w:pPr>
              <w:spacing w:line="240" w:lineRule="auto"/>
            </w:pPr>
            <w:r>
              <w:rPr>
                <w:rFonts w:ascii="宋体" w:hAnsi="宋体" w:eastAsia="宋体"/>
                <w:sz w:val="18"/>
              </w:rPr>
              <w:t>参数设定会影响结果</w:t>
            </w:r>
          </w:p>
        </w:tc>
        <w:tc>
          <w:tcPr>
            <w:tcW w:type="dxa" w:w="2160"/>
            <w:vAlign w:val="center"/>
          </w:tcPr>
          <w:p>
            <w:pPr>
              <w:spacing w:line="240" w:lineRule="auto"/>
            </w:pPr>
            <w:r>
              <w:rPr>
                <w:rFonts w:ascii="宋体" w:hAnsi="宋体" w:eastAsia="宋体"/>
                <w:sz w:val="18"/>
              </w:rPr>
              <w:t>适合折中决策，但解释成本较高</w:t>
            </w:r>
          </w:p>
        </w:tc>
      </w:tr>
      <w:tr>
        <w:tc>
          <w:tcPr>
            <w:tcW w:type="dxa" w:w="2160"/>
            <w:vAlign w:val="center"/>
          </w:tcPr>
          <w:p>
            <w:pPr>
              <w:spacing w:line="240" w:lineRule="auto"/>
            </w:pPr>
            <w:r>
              <w:rPr>
                <w:rFonts w:ascii="宋体" w:hAnsi="宋体" w:eastAsia="宋体"/>
                <w:sz w:val="18"/>
              </w:rPr>
              <w:t>主成分分析</w:t>
            </w:r>
          </w:p>
        </w:tc>
        <w:tc>
          <w:tcPr>
            <w:tcW w:type="dxa" w:w="2160"/>
            <w:vAlign w:val="center"/>
          </w:tcPr>
          <w:p>
            <w:pPr>
              <w:spacing w:line="240" w:lineRule="auto"/>
            </w:pPr>
            <w:r>
              <w:rPr>
                <w:rFonts w:ascii="宋体" w:hAnsi="宋体" w:eastAsia="宋体"/>
                <w:sz w:val="18"/>
              </w:rPr>
              <w:t>可降维并处理相关性</w:t>
            </w:r>
          </w:p>
        </w:tc>
        <w:tc>
          <w:tcPr>
            <w:tcW w:type="dxa" w:w="2160"/>
            <w:vAlign w:val="center"/>
          </w:tcPr>
          <w:p>
            <w:pPr>
              <w:spacing w:line="240" w:lineRule="auto"/>
            </w:pPr>
            <w:r>
              <w:rPr>
                <w:rFonts w:ascii="宋体" w:hAnsi="宋体" w:eastAsia="宋体"/>
                <w:sz w:val="18"/>
              </w:rPr>
              <w:t>主成分经济含义可能不够直观</w:t>
            </w:r>
          </w:p>
        </w:tc>
        <w:tc>
          <w:tcPr>
            <w:tcW w:type="dxa" w:w="2160"/>
            <w:vAlign w:val="center"/>
          </w:tcPr>
          <w:p>
            <w:pPr>
              <w:spacing w:line="240" w:lineRule="auto"/>
            </w:pPr>
            <w:r>
              <w:rPr>
                <w:rFonts w:ascii="宋体" w:hAnsi="宋体" w:eastAsia="宋体"/>
                <w:sz w:val="18"/>
              </w:rPr>
              <w:t>不利于保持指标原有解释性</w:t>
            </w:r>
          </w:p>
        </w:tc>
      </w:tr>
    </w:tbl>
    <w:p>
      <w:pPr>
        <w:spacing w:line="360" w:lineRule="auto"/>
        <w:ind w:firstLine="480"/>
      </w:pPr>
      <w:r>
        <w:rPr>
          <w:rFonts w:ascii="Times New Roman" w:hAnsi="Times New Roman" w:eastAsia="宋体"/>
          <w:sz w:val="21"/>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熵权法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方法强调群体效用与个体遗憾之间的折中，但参数设定会影响排序结果。主成分分析能够通过降维处理相关性问题，但主成分经济含义可能不够直观，不利于保持原始指标的解释性。</w:t>
      </w:r>
    </w:p>
    <w:p>
      <w:pPr>
        <w:spacing w:line="360" w:lineRule="auto"/>
        <w:ind w:firstLine="480"/>
      </w:pPr>
      <w:r>
        <w:rPr>
          <w:rFonts w:ascii="Times New Roman" w:hAnsi="Times New Roman" w:eastAsia="宋体"/>
          <w:sz w:val="21"/>
        </w:rPr>
        <w:t>相比之下，CRITIC 方法能够同时考虑指标变异程度和指标间冲突性，能够较好反映指标所包含的客观信息量，适用于多指标之间可能存在相关性的评价场景；TOPSIS 方法通过计算评价对象与正、负理想解之间的距离确定综合贴近度，排序逻辑清晰、结果直观，适合用于候选对象综合优劣排序。因此，本文采用改进 CRITIC 方法确定指标客观权重，并结合 TOPSIS 方法计算站点综合贴近度，形成改进 CRITIC-TOPSIS 综合评价模型。</w:t>
      </w:r>
    </w:p>
    <w:p>
      <w:pPr>
        <w:spacing w:line="360" w:lineRule="auto"/>
        <w:ind w:firstLine="480"/>
      </w:pPr>
      <w:r>
        <w:rPr>
          <w:rFonts w:ascii="Times New Roman" w:hAnsi="Times New Roman" w:eastAsia="宋体"/>
          <w:sz w:val="21"/>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方法则能够进一步根据候选站点与正、负理想解之间的相对距离形成综合排序结果。</w:t>
      </w:r>
    </w:p>
    <w:p>
      <w:pPr>
        <w:spacing w:line="360" w:lineRule="auto"/>
        <w:ind w:firstLine="480"/>
      </w:pPr>
      <w:r>
        <w:rPr>
          <w:rFonts w:ascii="Times New Roman" w:hAnsi="Times New Roman" w:eastAsia="宋体"/>
          <w:sz w:val="21"/>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w:t>
      </w:r>
    </w:p>
    <w:p>
      <w:pPr>
        <w:pStyle w:val="Heading3"/>
      </w:pPr>
      <w:r>
        <w:rPr>
          <w:rFonts w:ascii="Times New Roman" w:hAnsi="Times New Roman" w:eastAsia="宋体"/>
          <w:sz w:val="21"/>
        </w:rPr>
        <w:t>3.4.2 指标数据标准化与评价矩阵构建</w:t>
      </w:r>
    </w:p>
    <w:p>
      <w:pPr>
        <w:spacing w:line="360" w:lineRule="auto"/>
        <w:ind w:firstLine="480"/>
      </w:pPr>
      <w:r>
        <w:rPr>
          <w:rFonts w:ascii="Times New Roman" w:hAnsi="Times New Roman" w:eastAsia="宋体"/>
          <w:sz w:val="21"/>
        </w:rPr>
        <w:t>设候选站点集合为 $A=\{a_1,a_2,\ldots,a_n\}$，评价指标集合为 $C=\{c_1,c_2,\ldots,c_m\}$，其中 $n$ 表示候选站点数量，$m$ 表示评价指标数量。候选站点的原始评价矩阵可表示为：</w:t>
      </w:r>
    </w:p>
    <w:p>
      <w:pPr>
        <w:jc w:val="center"/>
      </w:pPr>
      <w:r>
        <w:rPr>
          <w:rFonts w:ascii="Times New Roman" w:hAnsi="Times New Roman" w:eastAsia="宋体"/>
          <w:sz w:val="21"/>
        </w:rPr>
        <w:t>X=(x_{ij})_{n\times m}</w:t>
      </w:r>
    </w:p>
    <w:p>
      <w:pPr>
        <w:spacing w:line="360" w:lineRule="auto"/>
        <w:ind w:firstLine="480"/>
      </w:pPr>
      <w:r>
        <w:rPr>
          <w:rFonts w:ascii="Times New Roman" w:hAnsi="Times New Roman" w:eastAsia="宋体"/>
          <w:sz w:val="21"/>
        </w:rPr>
        <w:t>式中，$x_{ij}$ 表示第 $i$ 个候选站点在第 $j$ 个评价指标上的原始值。由于不同指标量纲和取值范围不同，直接进行综合评价会导致量纲较大或数值波动较大的指标对结果产生过强影响。因此，需要对原始指标进行无量纲化处理。</w:t>
      </w:r>
    </w:p>
    <w:p>
      <w:pPr>
        <w:spacing w:line="360" w:lineRule="auto"/>
        <w:ind w:firstLine="480"/>
      </w:pPr>
      <w:r>
        <w:rPr>
          <w:rFonts w:ascii="Times New Roman" w:hAnsi="Times New Roman" w:eastAsia="宋体"/>
          <w:sz w:val="21"/>
        </w:rPr>
        <w:t>本文构建的 8 个评价指标均为正向指标，即指标值越大，表示候选站点在相应维度上的表现越优。网络结构维度中，度中心性越高，说明站点与相邻站点或线路之间的直接连接能力越强；介数中心性越高，说明站点在网络最短路径中的中介作用越突出，越有利于承担跨区域货物流组织功能；接近中心性越高，说明站点到网络中其他站点的平均距离越短，整体可达效率越高；特征向量中心性越高，说明站点与网络中重要节点之间的连接关系越紧密，具有更高质量的网络邻接优势。</w:t>
      </w:r>
    </w:p>
    <w:p>
      <w:pPr>
        <w:spacing w:line="360" w:lineRule="auto"/>
        <w:ind w:firstLine="480"/>
      </w:pPr>
      <w:r>
        <w:rPr>
          <w:rFonts w:ascii="Times New Roman" w:hAnsi="Times New Roman" w:eastAsia="宋体"/>
          <w:sz w:val="21"/>
        </w:rPr>
        <w:t>需求潜力维度中，人口密度越高，说明站域范围内潜在生活消费和末端配送需求基础越强；住宅数量越多，说明站点周边社区型配送需求承载能力越强；城市零售集群数量越多，说明商业消费活动、即时配送和商圈补货需求越集中；功能结构混合度越高，说明站域内居住、办公、商业和生活服务等功能越均衡，有利于形成多元且稳定的物流需求。因此，本文在指标标准化和 TOPSIS 理想解确定过程中，将上述 8 个指标统一视为效益型指标。对于效益型指标，标准化后的数值越大，表示候选站点在该指标上的相对表现越好；相应地，TOPSIS 方法中的正理想解由各指标最大值构成，负理想解由各指标最小值构成。</w:t>
      </w:r>
    </w:p>
    <w:p>
      <w:pPr>
        <w:spacing w:line="360" w:lineRule="auto"/>
        <w:ind w:firstLine="480"/>
      </w:pPr>
      <w:r>
        <w:rPr>
          <w:rFonts w:ascii="Times New Roman" w:hAnsi="Times New Roman" w:eastAsia="宋体"/>
          <w:sz w:val="21"/>
        </w:rPr>
        <w:t>对于正向指标，采用极差标准化方法：</w:t>
      </w:r>
    </w:p>
    <w:p>
      <w:pPr>
        <w:jc w:val="center"/>
      </w:pPr>
      <w:r>
        <w:rPr>
          <w:rFonts w:ascii="Times New Roman" w:hAnsi="Times New Roman" w:eastAsia="宋体"/>
          <w:sz w:val="21"/>
        </w:rPr>
        <w:t>q_{ij}=\frac{x_{ij}-\min(x_{1j},x_{2j},\ldots,x_{nj})}{\max(x_{1j},x_{2j},\ldots,x_{nj})-\min(x_{1j},x_{2j},\ldots,x_{nj})}</w:t>
      </w:r>
    </w:p>
    <w:p>
      <w:pPr>
        <w:spacing w:line="360" w:lineRule="auto"/>
        <w:ind w:firstLine="480"/>
      </w:pPr>
      <w:r>
        <w:rPr>
          <w:rFonts w:ascii="Times New Roman" w:hAnsi="Times New Roman" w:eastAsia="宋体"/>
          <w:sz w:val="21"/>
        </w:rPr>
        <w:t>若评价体系中存在成本型负向指标，则可采用如下转换：</w:t>
      </w:r>
    </w:p>
    <w:p>
      <w:pPr>
        <w:jc w:val="center"/>
      </w:pPr>
      <w:r>
        <w:rPr>
          <w:rFonts w:ascii="Times New Roman" w:hAnsi="Times New Roman" w:eastAsia="宋体"/>
          <w:sz w:val="21"/>
        </w:rPr>
        <w:t>q_{ij}=\frac{\max(x_{1j},x_{2j},\ldots,x_{nj})-x_{ij}}{\max(x_{1j},x_{2j},\ldots,x_{nj})-\min(x_{1j},x_{2j},\ldots,x_{nj})}</w:t>
      </w:r>
    </w:p>
    <w:p>
      <w:pPr>
        <w:spacing w:line="360" w:lineRule="auto"/>
        <w:ind w:firstLine="480"/>
      </w:pPr>
      <w:r>
        <w:rPr>
          <w:rFonts w:ascii="Times New Roman" w:hAnsi="Times New Roman" w:eastAsia="宋体"/>
          <w:sz w:val="21"/>
        </w:rPr>
        <w:t>经标准化后得到无量纲矩阵：</w:t>
      </w:r>
    </w:p>
    <w:p>
      <w:pPr>
        <w:jc w:val="center"/>
      </w:pPr>
      <w:r>
        <w:rPr>
          <w:rFonts w:ascii="Times New Roman" w:hAnsi="Times New Roman" w:eastAsia="宋体"/>
          <w:sz w:val="21"/>
        </w:rPr>
        <w:t>Q=(q_{ij})_{n\times m}</w:t>
      </w:r>
    </w:p>
    <w:p>
      <w:pPr>
        <w:spacing w:line="360" w:lineRule="auto"/>
        <w:ind w:firstLine="480"/>
      </w:pPr>
      <w:r>
        <w:rPr>
          <w:rFonts w:ascii="Times New Roman" w:hAnsi="Times New Roman" w:eastAsia="宋体"/>
          <w:sz w:val="21"/>
        </w:rPr>
        <w:t>若某一指标在所有候选站点中的取值相同，则该指标无法区分不同站点，其标准化值可统一处理为 0，或在权重计算中赋予较低信息量。</w:t>
      </w:r>
    </w:p>
    <w:p>
      <w:pPr>
        <w:spacing w:line="360" w:lineRule="auto"/>
        <w:ind w:firstLine="480"/>
      </w:pPr>
      <w:r>
        <w:rPr>
          <w:rFonts w:ascii="Times New Roman" w:hAnsi="Times New Roman" w:eastAsia="宋体"/>
          <w:sz w:val="21"/>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pPr>
        <w:pStyle w:val="Heading3"/>
      </w:pPr>
      <w:r>
        <w:rPr>
          <w:rFonts w:ascii="Times New Roman" w:hAnsi="Times New Roman" w:eastAsia="宋体"/>
          <w:sz w:val="21"/>
        </w:rPr>
        <w:t>3.4.3 改进 CRITIC 权重确定方法</w:t>
      </w:r>
    </w:p>
    <w:p>
      <w:pPr>
        <w:spacing w:line="360" w:lineRule="auto"/>
        <w:ind w:firstLine="480"/>
      </w:pPr>
      <w:r>
        <w:rPr>
          <w:rFonts w:ascii="Times New Roman" w:hAnsi="Times New Roman" w:eastAsia="宋体"/>
          <w:sz w:val="21"/>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的熵权法相比，CRITIC 方法能够同时考虑指标差异性和指标间信息重叠程度，因而更适合用于多指标综合评价问题。</w:t>
      </w:r>
    </w:p>
    <w:p>
      <w:pPr>
        <w:spacing w:line="360" w:lineRule="auto"/>
        <w:ind w:firstLine="480"/>
      </w:pPr>
      <w:r>
        <w:rPr>
          <w:rFonts w:ascii="Times New Roman" w:hAnsi="Times New Roman" w:eastAsia="宋体"/>
          <w:sz w:val="21"/>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低相关或高波动指标可能获得过高权重，导致网络结构维度与需求潜力维度之间的评价贡献不够均衡。</w:t>
      </w:r>
    </w:p>
    <w:p>
      <w:pPr>
        <w:spacing w:line="360" w:lineRule="auto"/>
        <w:ind w:firstLine="480"/>
      </w:pPr>
      <w:r>
        <w:rPr>
          <w:rFonts w:ascii="Times New Roman" w:hAnsi="Times New Roman" w:eastAsia="宋体"/>
          <w:sz w:val="21"/>
        </w:rPr>
        <w:t>基于此，本文在普通 CRITIC 方法基础上进行改进。第一，在指标冲突性计算中引入相关系数绝对值，以 $1-|r_{jl}|$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权重离散性进行平滑修正的处理思路，对指标信息量进行幂次平滑调整，通过权重离散程度参数修正原始 CRITIC 信息量，避免个别指标因低相关或高波动而获得过高权重。经过上述改进，指标权重既能够体现不同指标的信息差异，又能够保持网络结构维度与需求潜力维度之间的相对均衡，从而提高综合评价结果的稳定性和可解释性。</w:t>
      </w:r>
    </w:p>
    <w:p>
      <w:pPr>
        <w:spacing w:line="360" w:lineRule="auto"/>
        <w:ind w:firstLine="480"/>
      </w:pPr>
      <w:r>
        <w:rPr>
          <w:rFonts w:ascii="Times New Roman" w:hAnsi="Times New Roman" w:eastAsia="宋体"/>
          <w:b/>
          <w:sz w:val="21"/>
        </w:rPr>
        <w:t>表 3-5 普通 CRITIC 与本文改进 CRITIC 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比较项</w:t>
            </w:r>
          </w:p>
        </w:tc>
        <w:tc>
          <w:tcPr>
            <w:tcW w:type="dxa" w:w="2160"/>
            <w:vAlign w:val="center"/>
          </w:tcPr>
          <w:p>
            <w:pPr>
              <w:spacing w:line="240" w:lineRule="auto"/>
            </w:pPr>
            <w:r>
              <w:rPr>
                <w:rFonts w:ascii="宋体" w:hAnsi="宋体" w:eastAsia="宋体"/>
                <w:sz w:val="18"/>
              </w:rPr>
              <w:t>普通 CRITIC 方法</w:t>
            </w:r>
          </w:p>
        </w:tc>
        <w:tc>
          <w:tcPr>
            <w:tcW w:type="dxa" w:w="2160"/>
            <w:vAlign w:val="center"/>
          </w:tcPr>
          <w:p>
            <w:pPr>
              <w:spacing w:line="240" w:lineRule="auto"/>
            </w:pPr>
            <w:r>
              <w:rPr>
                <w:rFonts w:ascii="宋体" w:hAnsi="宋体" w:eastAsia="宋体"/>
                <w:sz w:val="18"/>
              </w:rPr>
              <w:t>本文改进 CRITIC 方法</w:t>
            </w:r>
          </w:p>
        </w:tc>
        <w:tc>
          <w:tcPr>
            <w:tcW w:type="dxa" w:w="2160"/>
            <w:vAlign w:val="center"/>
          </w:tcPr>
          <w:p>
            <w:pPr>
              <w:spacing w:line="240" w:lineRule="auto"/>
            </w:pPr>
            <w:r>
              <w:rPr>
                <w:rFonts w:ascii="宋体" w:hAnsi="宋体" w:eastAsia="宋体"/>
                <w:sz w:val="18"/>
              </w:rPr>
              <w:t>改进作用</w:t>
            </w:r>
          </w:p>
        </w:tc>
      </w:tr>
      <w:tr>
        <w:tc>
          <w:tcPr>
            <w:tcW w:type="dxa" w:w="2160"/>
            <w:vAlign w:val="center"/>
          </w:tcPr>
          <w:p>
            <w:pPr>
              <w:spacing w:line="240" w:lineRule="auto"/>
            </w:pPr>
            <w:r>
              <w:rPr>
                <w:rFonts w:ascii="宋体" w:hAnsi="宋体" w:eastAsia="宋体"/>
                <w:sz w:val="18"/>
              </w:rPr>
              <w:t>指标变异度</w:t>
            </w:r>
          </w:p>
        </w:tc>
        <w:tc>
          <w:tcPr>
            <w:tcW w:type="dxa" w:w="2160"/>
            <w:vAlign w:val="center"/>
          </w:tcPr>
          <w:p>
            <w:pPr>
              <w:spacing w:line="240" w:lineRule="auto"/>
            </w:pPr>
            <w:r>
              <w:rPr>
                <w:rFonts w:ascii="宋体" w:hAnsi="宋体" w:eastAsia="宋体"/>
                <w:sz w:val="18"/>
              </w:rPr>
              <w:t>采用标准差衡量指标区分能力</w:t>
            </w:r>
          </w:p>
        </w:tc>
        <w:tc>
          <w:tcPr>
            <w:tcW w:type="dxa" w:w="2160"/>
            <w:vAlign w:val="center"/>
          </w:tcPr>
          <w:p>
            <w:pPr>
              <w:spacing w:line="240" w:lineRule="auto"/>
            </w:pPr>
            <w:r>
              <w:rPr>
                <w:rFonts w:ascii="宋体" w:hAnsi="宋体" w:eastAsia="宋体"/>
                <w:sz w:val="18"/>
              </w:rPr>
              <w:t>保留标准差度量</w:t>
            </w:r>
          </w:p>
        </w:tc>
        <w:tc>
          <w:tcPr>
            <w:tcW w:type="dxa" w:w="2160"/>
            <w:vAlign w:val="center"/>
          </w:tcPr>
          <w:p>
            <w:pPr>
              <w:spacing w:line="240" w:lineRule="auto"/>
            </w:pPr>
            <w:r>
              <w:rPr>
                <w:rFonts w:ascii="宋体" w:hAnsi="宋体" w:eastAsia="宋体"/>
                <w:sz w:val="18"/>
              </w:rPr>
              <w:t>继续反映指标在候选站点之间的差异程度</w:t>
            </w:r>
          </w:p>
        </w:tc>
      </w:tr>
      <w:tr>
        <w:tc>
          <w:tcPr>
            <w:tcW w:type="dxa" w:w="2160"/>
            <w:vAlign w:val="center"/>
          </w:tcPr>
          <w:p>
            <w:pPr>
              <w:spacing w:line="240" w:lineRule="auto"/>
            </w:pPr>
            <w:r>
              <w:rPr>
                <w:rFonts w:ascii="宋体" w:hAnsi="宋体" w:eastAsia="宋体"/>
                <w:sz w:val="18"/>
              </w:rPr>
              <w:t>指标冲突性</w:t>
            </w:r>
          </w:p>
        </w:tc>
        <w:tc>
          <w:tcPr>
            <w:tcW w:type="dxa" w:w="2160"/>
            <w:vAlign w:val="center"/>
          </w:tcPr>
          <w:p>
            <w:pPr>
              <w:spacing w:line="240" w:lineRule="auto"/>
            </w:pPr>
            <w:r>
              <w:rPr>
                <w:rFonts w:ascii="宋体" w:hAnsi="宋体" w:eastAsia="宋体"/>
                <w:sz w:val="18"/>
              </w:rPr>
              <w:t>通常采用 $1-r_{jl}$ 衡量</w:t>
            </w:r>
          </w:p>
        </w:tc>
        <w:tc>
          <w:tcPr>
            <w:tcW w:type="dxa" w:w="2160"/>
            <w:vAlign w:val="center"/>
          </w:tcPr>
          <w:p>
            <w:pPr>
              <w:spacing w:line="240" w:lineRule="auto"/>
            </w:pPr>
            <w:r>
              <w:rPr>
                <w:rFonts w:ascii="宋体" w:hAnsi="宋体" w:eastAsia="宋体"/>
                <w:sz w:val="18"/>
              </w:rPr>
              <w:t>采用 $1-</w:t>
            </w:r>
          </w:p>
        </w:tc>
        <w:tc>
          <w:tcPr>
            <w:tcW w:type="dxa" w:w="2160"/>
            <w:vAlign w:val="center"/>
          </w:tcPr>
          <w:p>
            <w:pPr>
              <w:spacing w:line="240" w:lineRule="auto"/>
            </w:pPr>
            <w:r>
              <w:rPr>
                <w:rFonts w:ascii="宋体" w:hAnsi="宋体" w:eastAsia="宋体"/>
                <w:sz w:val="18"/>
              </w:rPr>
              <w:t>r_{jl}</w:t>
            </w:r>
          </w:p>
        </w:tc>
      </w:tr>
      <w:tr>
        <w:tc>
          <w:tcPr>
            <w:tcW w:type="dxa" w:w="2160"/>
            <w:vAlign w:val="center"/>
          </w:tcPr>
          <w:p>
            <w:pPr>
              <w:spacing w:line="240" w:lineRule="auto"/>
            </w:pPr>
            <w:r>
              <w:rPr>
                <w:rFonts w:ascii="宋体" w:hAnsi="宋体" w:eastAsia="宋体"/>
                <w:sz w:val="18"/>
              </w:rPr>
              <w:t>信息量计算</w:t>
            </w:r>
          </w:p>
        </w:tc>
        <w:tc>
          <w:tcPr>
            <w:tcW w:type="dxa" w:w="2160"/>
            <w:vAlign w:val="center"/>
          </w:tcPr>
          <w:p>
            <w:pPr>
              <w:spacing w:line="240" w:lineRule="auto"/>
            </w:pPr>
            <w:r>
              <w:rPr>
                <w:rFonts w:ascii="宋体" w:hAnsi="宋体" w:eastAsia="宋体"/>
                <w:sz w:val="18"/>
              </w:rPr>
              <w:t>$C_j=s_jR_j$</w:t>
            </w:r>
          </w:p>
        </w:tc>
        <w:tc>
          <w:tcPr>
            <w:tcW w:type="dxa" w:w="2160"/>
            <w:vAlign w:val="center"/>
          </w:tcPr>
          <w:p>
            <w:pPr>
              <w:spacing w:line="240" w:lineRule="auto"/>
            </w:pPr>
            <w:r>
              <w:rPr>
                <w:rFonts w:ascii="宋体" w:hAnsi="宋体" w:eastAsia="宋体"/>
                <w:sz w:val="18"/>
              </w:rPr>
              <w:t>先计算 $C_j=s_jR_j$，再进行平滑修正</w:t>
            </w:r>
          </w:p>
        </w:tc>
        <w:tc>
          <w:tcPr>
            <w:tcW w:type="dxa" w:w="2160"/>
            <w:vAlign w:val="center"/>
          </w:tcPr>
          <w:p>
            <w:pPr>
              <w:spacing w:line="240" w:lineRule="auto"/>
            </w:pPr>
            <w:r>
              <w:rPr>
                <w:rFonts w:ascii="宋体" w:hAnsi="宋体" w:eastAsia="宋体"/>
                <w:sz w:val="18"/>
              </w:rPr>
              <w:t>防止个别指标权重过度放大</w:t>
            </w:r>
          </w:p>
        </w:tc>
      </w:tr>
      <w:tr>
        <w:tc>
          <w:tcPr>
            <w:tcW w:type="dxa" w:w="2160"/>
            <w:vAlign w:val="center"/>
          </w:tcPr>
          <w:p>
            <w:pPr>
              <w:spacing w:line="240" w:lineRule="auto"/>
            </w:pPr>
            <w:r>
              <w:rPr>
                <w:rFonts w:ascii="宋体" w:hAnsi="宋体" w:eastAsia="宋体"/>
                <w:sz w:val="18"/>
              </w:rPr>
              <w:t>权重分布</w:t>
            </w:r>
          </w:p>
        </w:tc>
        <w:tc>
          <w:tcPr>
            <w:tcW w:type="dxa" w:w="2160"/>
            <w:vAlign w:val="center"/>
          </w:tcPr>
          <w:p>
            <w:pPr>
              <w:spacing w:line="240" w:lineRule="auto"/>
            </w:pPr>
            <w:r>
              <w:rPr>
                <w:rFonts w:ascii="宋体" w:hAnsi="宋体" w:eastAsia="宋体"/>
                <w:sz w:val="18"/>
              </w:rPr>
              <w:t>可能受低相关或高波动指标影响较大</w:t>
            </w:r>
          </w:p>
        </w:tc>
        <w:tc>
          <w:tcPr>
            <w:tcW w:type="dxa" w:w="2160"/>
            <w:vAlign w:val="center"/>
          </w:tcPr>
          <w:p>
            <w:pPr>
              <w:spacing w:line="240" w:lineRule="auto"/>
            </w:pPr>
            <w:r>
              <w:rPr>
                <w:rFonts w:ascii="宋体" w:hAnsi="宋体" w:eastAsia="宋体"/>
                <w:sz w:val="18"/>
              </w:rPr>
              <w:t>通过信息量修正降低权重离散程度</w:t>
            </w:r>
          </w:p>
        </w:tc>
        <w:tc>
          <w:tcPr>
            <w:tcW w:type="dxa" w:w="2160"/>
            <w:vAlign w:val="center"/>
          </w:tcPr>
          <w:p>
            <w:pPr>
              <w:spacing w:line="240" w:lineRule="auto"/>
            </w:pPr>
            <w:r>
              <w:rPr>
                <w:rFonts w:ascii="宋体" w:hAnsi="宋体" w:eastAsia="宋体"/>
                <w:sz w:val="18"/>
              </w:rPr>
              <w:t>增强指标体系整体稳定性</w:t>
            </w:r>
          </w:p>
        </w:tc>
      </w:tr>
      <w:tr>
        <w:tc>
          <w:tcPr>
            <w:tcW w:type="dxa" w:w="2160"/>
            <w:vAlign w:val="center"/>
          </w:tcPr>
          <w:p>
            <w:pPr>
              <w:spacing w:line="240" w:lineRule="auto"/>
            </w:pPr>
            <w:r>
              <w:rPr>
                <w:rFonts w:ascii="宋体" w:hAnsi="宋体" w:eastAsia="宋体"/>
                <w:sz w:val="18"/>
              </w:rPr>
              <w:t>适用场景</w:t>
            </w:r>
          </w:p>
        </w:tc>
        <w:tc>
          <w:tcPr>
            <w:tcW w:type="dxa" w:w="2160"/>
            <w:vAlign w:val="center"/>
          </w:tcPr>
          <w:p>
            <w:pPr>
              <w:spacing w:line="240" w:lineRule="auto"/>
            </w:pPr>
            <w:r>
              <w:rPr>
                <w:rFonts w:ascii="宋体" w:hAnsi="宋体" w:eastAsia="宋体"/>
                <w:sz w:val="18"/>
              </w:rPr>
              <w:t>一般多指标客观赋权</w:t>
            </w:r>
          </w:p>
        </w:tc>
        <w:tc>
          <w:tcPr>
            <w:tcW w:type="dxa" w:w="2160"/>
            <w:vAlign w:val="center"/>
          </w:tcPr>
          <w:p>
            <w:pPr>
              <w:spacing w:line="240" w:lineRule="auto"/>
            </w:pPr>
            <w:r>
              <w:rPr>
                <w:rFonts w:ascii="宋体" w:hAnsi="宋体" w:eastAsia="宋体"/>
                <w:sz w:val="18"/>
              </w:rPr>
              <w:t>网络结构指标与需求潜力指标并存的评价场景</w:t>
            </w:r>
          </w:p>
        </w:tc>
        <w:tc>
          <w:tcPr>
            <w:tcW w:type="dxa" w:w="2160"/>
            <w:vAlign w:val="center"/>
          </w:tcPr>
          <w:p>
            <w:pPr>
              <w:spacing w:line="240" w:lineRule="auto"/>
            </w:pPr>
            <w:r>
              <w:rPr>
                <w:rFonts w:ascii="宋体" w:hAnsi="宋体" w:eastAsia="宋体"/>
                <w:sz w:val="18"/>
              </w:rPr>
              <w:t>提高评价结果的稳健性和解释性</w:t>
            </w:r>
          </w:p>
        </w:tc>
      </w:tr>
    </w:tbl>
    <w:p>
      <w:pPr>
        <w:spacing w:line="360" w:lineRule="auto"/>
        <w:ind w:firstLine="480"/>
      </w:pPr>
      <w:r>
        <w:rPr>
          <w:rFonts w:ascii="Times New Roman" w:hAnsi="Times New Roman" w:eastAsia="宋体"/>
          <w:sz w:val="21"/>
        </w:rPr>
        <w:t>基于上述改进思路，本文首先对标准化矩阵计算各指标的变异度，再基于相关系数绝对值计算指标冲突性，并进一步对指标信息量进行平滑修正，最终得到改进 CRITIC 权重。具体计算过程如下。</w:t>
      </w:r>
    </w:p>
    <w:p>
      <w:pPr>
        <w:spacing w:line="360" w:lineRule="auto"/>
        <w:ind w:firstLine="480"/>
      </w:pPr>
      <w:r>
        <w:rPr>
          <w:rFonts w:ascii="Times New Roman" w:hAnsi="Times New Roman" w:eastAsia="宋体"/>
          <w:sz w:val="21"/>
        </w:rPr>
        <w:t>设第 $j$ 个指标的均值为：</w:t>
      </w:r>
    </w:p>
    <w:p>
      <w:pPr>
        <w:jc w:val="center"/>
      </w:pPr>
      <w:r>
        <w:rPr>
          <w:rFonts w:ascii="Times New Roman" w:hAnsi="Times New Roman" w:eastAsia="宋体"/>
          <w:sz w:val="21"/>
        </w:rPr>
        <w:t>\bar{q}_j=\frac{1}{n}\sum_{i=1}^{n}q_{ij}</w:t>
      </w:r>
    </w:p>
    <w:p>
      <w:pPr>
        <w:spacing w:line="360" w:lineRule="auto"/>
        <w:ind w:firstLine="480"/>
      </w:pPr>
      <w:r>
        <w:rPr>
          <w:rFonts w:ascii="Times New Roman" w:hAnsi="Times New Roman" w:eastAsia="宋体"/>
          <w:sz w:val="21"/>
        </w:rPr>
        <w:t>则第 $j$ 个指标的标准差为：</w:t>
      </w:r>
    </w:p>
    <w:p>
      <w:pPr>
        <w:jc w:val="center"/>
      </w:pPr>
      <w:r>
        <w:rPr>
          <w:rFonts w:ascii="Times New Roman" w:hAnsi="Times New Roman" w:eastAsia="宋体"/>
          <w:sz w:val="21"/>
        </w:rPr>
        <w:t>s_j=\sqrt{\frac{1}{n-1}\sum_{i=1}^{n}(q_{ij}-\bar{q}_j)^2}</w:t>
      </w:r>
    </w:p>
    <w:p>
      <w:pPr>
        <w:spacing w:line="360" w:lineRule="auto"/>
        <w:ind w:firstLine="480"/>
      </w:pPr>
      <w:r>
        <w:rPr>
          <w:rFonts w:ascii="Times New Roman" w:hAnsi="Times New Roman" w:eastAsia="宋体"/>
          <w:sz w:val="21"/>
        </w:rPr>
        <w:t>设 $r_{jl}$ 为指标 $j$ 与指标 $l$ 之间的皮尔逊相关系数。为降低相关系数正负号对冲突性度量的影响，本文采用相关系数绝对值计算指标冲突性：</w:t>
      </w:r>
    </w:p>
    <w:p>
      <w:pPr>
        <w:jc w:val="center"/>
      </w:pPr>
      <w:r>
        <w:rPr>
          <w:rFonts w:ascii="Times New Roman" w:hAnsi="Times New Roman" w:eastAsia="宋体"/>
          <w:sz w:val="21"/>
        </w:rPr>
        <w:t>R_j=\sum_{l=1}^{m}(1-|r_{jl}|)</w:t>
      </w:r>
    </w:p>
    <w:p>
      <w:pPr>
        <w:spacing w:line="360" w:lineRule="auto"/>
        <w:ind w:firstLine="480"/>
      </w:pPr>
      <w:r>
        <w:rPr>
          <w:rFonts w:ascii="Times New Roman" w:hAnsi="Times New Roman" w:eastAsia="宋体"/>
          <w:sz w:val="21"/>
        </w:rPr>
        <w:t>第 $j$ 个指标的信息量为：</w:t>
      </w:r>
    </w:p>
    <w:p>
      <w:pPr>
        <w:jc w:val="center"/>
      </w:pPr>
      <w:r>
        <w:rPr>
          <w:rFonts w:ascii="Times New Roman" w:hAnsi="Times New Roman" w:eastAsia="宋体"/>
          <w:sz w:val="21"/>
        </w:rPr>
        <w:t>C_j=s_jR_j</w:t>
      </w:r>
    </w:p>
    <w:p>
      <w:pPr>
        <w:spacing w:line="360" w:lineRule="auto"/>
        <w:ind w:firstLine="480"/>
      </w:pPr>
      <w:r>
        <w:rPr>
          <w:rFonts w:ascii="Times New Roman" w:hAnsi="Times New Roman" w:eastAsia="宋体"/>
          <w:sz w:val="21"/>
        </w:rPr>
        <w:t>原始 CRITIC 权重为：</w:t>
      </w:r>
    </w:p>
    <w:p>
      <w:pPr>
        <w:jc w:val="center"/>
      </w:pPr>
      <w:r>
        <w:rPr>
          <w:rFonts w:ascii="Times New Roman" w:hAnsi="Times New Roman" w:eastAsia="宋体"/>
          <w:sz w:val="21"/>
        </w:rPr>
        <w:t>w_j=\frac{C_j}{\sum_{j=1}^{m}C_j}</w:t>
      </w:r>
    </w:p>
    <w:p>
      <w:pPr>
        <w:spacing w:line="360" w:lineRule="auto"/>
        <w:ind w:firstLine="480"/>
      </w:pPr>
      <w:r>
        <w:rPr>
          <w:rFonts w:ascii="Times New Roman" w:hAnsi="Times New Roman" w:eastAsia="宋体"/>
          <w:sz w:val="21"/>
        </w:rPr>
        <w:t>为弱化原始 CRITIC 方法可能赋予低相关性指标过高权重的问题，进一步计算权重离散程度：</w:t>
      </w:r>
    </w:p>
    <w:p>
      <w:pPr>
        <w:jc w:val="center"/>
      </w:pPr>
      <w:r>
        <w:rPr>
          <w:rFonts w:ascii="Times New Roman" w:hAnsi="Times New Roman" w:eastAsia="宋体"/>
          <w:sz w:val="21"/>
        </w:rPr>
        <w:t>\sigma=\frac{\max(w_j)+\varepsilon}{\min(w_j)+\varepsilon}</w:t>
      </w:r>
    </w:p>
    <w:p>
      <w:pPr>
        <w:spacing w:line="360" w:lineRule="auto"/>
        <w:ind w:firstLine="480"/>
      </w:pPr>
      <w:r>
        <w:rPr>
          <w:rFonts w:ascii="Times New Roman" w:hAnsi="Times New Roman" w:eastAsia="宋体"/>
          <w:sz w:val="21"/>
        </w:rPr>
        <w:t>式中，$\varepsilon$ 为极小正数，用于避免最小权重接近 0 时造成权重离散程度计算不稳定。当各指标原始权重越不均衡时，$\sigma$ 越大，信息量幂次平滑作用越明显；当原始权重差异较小时，修正幅度相应减弱。</w:t>
      </w:r>
    </w:p>
    <w:p>
      <w:pPr>
        <w:spacing w:line="360" w:lineRule="auto"/>
        <w:ind w:firstLine="480"/>
      </w:pPr>
      <w:r>
        <w:rPr>
          <w:rFonts w:ascii="Times New Roman" w:hAnsi="Times New Roman" w:eastAsia="宋体"/>
          <w:sz w:val="21"/>
        </w:rPr>
        <w:t>在此基础上，对指标信息量进行修正：</w:t>
      </w:r>
    </w:p>
    <w:p>
      <w:pPr>
        <w:jc w:val="center"/>
      </w:pPr>
      <w:r>
        <w:rPr>
          <w:rFonts w:ascii="Times New Roman" w:hAnsi="Times New Roman" w:eastAsia="宋体"/>
          <w:sz w:val="21"/>
        </w:rPr>
        <w:t>C_j'=(C_j)^{1/\sigma}</w:t>
      </w:r>
    </w:p>
    <w:p>
      <w:pPr>
        <w:spacing w:line="360" w:lineRule="auto"/>
        <w:ind w:firstLine="480"/>
      </w:pPr>
      <w:r>
        <w:rPr>
          <w:rFonts w:ascii="Times New Roman" w:hAnsi="Times New Roman" w:eastAsia="宋体"/>
          <w:sz w:val="21"/>
        </w:rPr>
        <w:t>改进后的指标权重为：</w:t>
      </w:r>
    </w:p>
    <w:p>
      <w:pPr>
        <w:jc w:val="center"/>
      </w:pPr>
      <w:r>
        <w:rPr>
          <w:rFonts w:ascii="Times New Roman" w:hAnsi="Times New Roman" w:eastAsia="宋体"/>
          <w:sz w:val="21"/>
        </w:rPr>
        <w:t>w_j'=\frac{C_j'}{\sum_{j=1}^{m}C_j'}</w:t>
      </w:r>
    </w:p>
    <w:p>
      <w:pPr>
        <w:spacing w:line="360" w:lineRule="auto"/>
        <w:ind w:firstLine="480"/>
      </w:pPr>
      <w:r>
        <w:rPr>
          <w:rFonts w:ascii="Times New Roman" w:hAnsi="Times New Roman" w:eastAsia="宋体"/>
          <w:sz w:val="21"/>
        </w:rPr>
        <w:t>由此得到权重向量：</w:t>
      </w:r>
    </w:p>
    <w:p>
      <w:pPr>
        <w:jc w:val="center"/>
      </w:pPr>
      <w:r>
        <w:rPr>
          <w:rFonts w:ascii="Times New Roman" w:hAnsi="Times New Roman" w:eastAsia="宋体"/>
          <w:sz w:val="21"/>
        </w:rPr>
        <w:t>W=(w_1',w_2',\ldots,w_m')</w:t>
      </w:r>
    </w:p>
    <w:p>
      <w:pPr>
        <w:pStyle w:val="Heading3"/>
      </w:pPr>
      <w:r>
        <w:rPr>
          <w:rFonts w:ascii="Times New Roman" w:hAnsi="Times New Roman" w:eastAsia="宋体"/>
          <w:sz w:val="21"/>
        </w:rPr>
        <w:t>3.4.4 TOPSIS 综合贴近度计算方法</w:t>
      </w:r>
    </w:p>
    <w:p>
      <w:pPr>
        <w:spacing w:line="360" w:lineRule="auto"/>
        <w:ind w:firstLine="480"/>
      </w:pPr>
      <w:r>
        <w:rPr>
          <w:rFonts w:ascii="Times New Roman" w:hAnsi="Times New Roman" w:eastAsia="宋体"/>
          <w:sz w:val="21"/>
        </w:rPr>
        <w:t>TOPSIS 方法的基本思想是：最优评价对象应尽可能接近正理想解，同时尽可能远离负理想解。该方法能够将多指标评价结果转化为综合贴近度，并据此形成候选站点排序。结合改进 CRITIC 权重，TOPSIS 综合评价过程如下。</w:t>
      </w:r>
    </w:p>
    <w:p>
      <w:pPr>
        <w:spacing w:line="360" w:lineRule="auto"/>
        <w:ind w:firstLine="480"/>
      </w:pPr>
      <w:r>
        <w:rPr>
          <w:rFonts w:ascii="Times New Roman" w:hAnsi="Times New Roman" w:eastAsia="宋体"/>
          <w:sz w:val="21"/>
        </w:rP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的平方和归一化处理，以保持各指标原始相对比例关系并维持后续实证结果的一致性。由于前文已明确本文 8 个指标均为正向指标，且各指标原始值均可按效益型指标解释，故 TOPSIS 阶段仍按照效益型指标确定正理想解与负理想解。</w:t>
      </w:r>
    </w:p>
    <w:p>
      <w:pPr>
        <w:spacing w:line="360" w:lineRule="auto"/>
        <w:ind w:firstLine="480"/>
      </w:pPr>
      <w:r>
        <w:rPr>
          <w:rFonts w:ascii="Times New Roman" w:hAnsi="Times New Roman" w:eastAsia="宋体"/>
          <w:sz w:val="21"/>
        </w:rPr>
        <w:t>首先，采用平方和归一化方法构造 TOPSIS 规范化矩阵：</w:t>
      </w:r>
    </w:p>
    <w:p>
      <w:pPr>
        <w:jc w:val="center"/>
      </w:pPr>
      <w:r>
        <w:rPr>
          <w:rFonts w:ascii="Times New Roman" w:hAnsi="Times New Roman" w:eastAsia="宋体"/>
          <w:sz w:val="21"/>
        </w:rPr>
        <w:t>z_{ij}=\frac{x_{ij}}{\sqrt{\sum_{i=1}^{n}x_{ij}^{2}}}</w:t>
      </w:r>
    </w:p>
    <w:p>
      <w:pPr>
        <w:spacing w:line="360" w:lineRule="auto"/>
        <w:ind w:firstLine="480"/>
      </w:pPr>
      <w:r>
        <w:rPr>
          <w:rFonts w:ascii="Times New Roman" w:hAnsi="Times New Roman" w:eastAsia="宋体"/>
          <w:sz w:val="21"/>
        </w:rPr>
        <w:t>得到规范化矩阵：</w:t>
      </w:r>
    </w:p>
    <w:p>
      <w:pPr>
        <w:jc w:val="center"/>
      </w:pPr>
      <w:r>
        <w:rPr>
          <w:rFonts w:ascii="Times New Roman" w:hAnsi="Times New Roman" w:eastAsia="宋体"/>
          <w:sz w:val="21"/>
        </w:rPr>
        <w:t>Z=(z_{ij})_{n\times m}</w:t>
      </w:r>
    </w:p>
    <w:p>
      <w:pPr>
        <w:spacing w:line="360" w:lineRule="auto"/>
        <w:ind w:firstLine="480"/>
      </w:pPr>
      <w:r>
        <w:rPr>
          <w:rFonts w:ascii="Times New Roman" w:hAnsi="Times New Roman" w:eastAsia="宋体"/>
          <w:sz w:val="21"/>
        </w:rPr>
        <w:t>结合改进 CRITIC 权重，构造加权规范矩阵：</w:t>
      </w:r>
    </w:p>
    <w:p>
      <w:pPr>
        <w:jc w:val="center"/>
      </w:pPr>
      <w:r>
        <w:rPr>
          <w:rFonts w:ascii="Times New Roman" w:hAnsi="Times New Roman" w:eastAsia="宋体"/>
          <w:sz w:val="21"/>
        </w:rPr>
        <w:t>v_{ij}=w_j'z_{ij}</w:t>
      </w:r>
    </w:p>
    <w:p>
      <w:pPr>
        <w:spacing w:line="360" w:lineRule="auto"/>
        <w:ind w:firstLine="480"/>
      </w:pPr>
      <w:r>
        <w:rPr>
          <w:rFonts w:ascii="Times New Roman" w:hAnsi="Times New Roman" w:eastAsia="宋体"/>
          <w:sz w:val="21"/>
        </w:rPr>
        <w:t>即：</w:t>
      </w:r>
    </w:p>
    <w:p>
      <w:pPr>
        <w:jc w:val="center"/>
      </w:pPr>
      <w:r>
        <w:rPr>
          <w:rFonts w:ascii="Times New Roman" w:hAnsi="Times New Roman" w:eastAsia="宋体"/>
          <w:sz w:val="21"/>
        </w:rPr>
        <w:t>V=(v_{ij})_{n\times m}</w:t>
      </w:r>
    </w:p>
    <w:p>
      <w:pPr>
        <w:spacing w:line="360" w:lineRule="auto"/>
        <w:ind w:firstLine="480"/>
      </w:pPr>
      <w:r>
        <w:rPr>
          <w:rFonts w:ascii="Times New Roman" w:hAnsi="Times New Roman" w:eastAsia="宋体"/>
          <w:sz w:val="21"/>
        </w:rPr>
        <w:t>由于本文指标均为正向指标，第 $j$ 个指标的正理想解和负理想解分别为：</w:t>
      </w:r>
    </w:p>
    <w:p>
      <w:pPr>
        <w:jc w:val="center"/>
      </w:pPr>
      <w:r>
        <w:rPr>
          <w:rFonts w:ascii="Times New Roman" w:hAnsi="Times New Roman" w:eastAsia="宋体"/>
          <w:sz w:val="21"/>
        </w:rPr>
        <w:t>v_j^{+}=\max_{1\le i\le n}v_{ij}</w:t>
      </w:r>
    </w:p>
    <w:p>
      <w:pPr>
        <w:jc w:val="center"/>
      </w:pPr>
      <w:r>
        <w:rPr>
          <w:rFonts w:ascii="Times New Roman" w:hAnsi="Times New Roman" w:eastAsia="宋体"/>
          <w:sz w:val="21"/>
        </w:rPr>
        <w:t>v_j^{-}=\min_{1\le i\le n}v_{ij}</w:t>
      </w:r>
    </w:p>
    <w:p>
      <w:pPr>
        <w:spacing w:line="360" w:lineRule="auto"/>
        <w:ind w:firstLine="480"/>
      </w:pPr>
      <w:r>
        <w:rPr>
          <w:rFonts w:ascii="Times New Roman" w:hAnsi="Times New Roman" w:eastAsia="宋体"/>
          <w:sz w:val="21"/>
        </w:rPr>
        <w:t>由此得到正理想解向量和负理想解向量：</w:t>
      </w:r>
    </w:p>
    <w:p>
      <w:pPr>
        <w:jc w:val="center"/>
      </w:pPr>
      <w:r>
        <w:rPr>
          <w:rFonts w:ascii="Times New Roman" w:hAnsi="Times New Roman" w:eastAsia="宋体"/>
          <w:sz w:val="21"/>
        </w:rPr>
        <w:t>V^{+}=(v_1^{+},v_2^{+},\ldots,v_m^{+})</w:t>
      </w:r>
    </w:p>
    <w:p>
      <w:pPr>
        <w:jc w:val="center"/>
      </w:pPr>
      <w:r>
        <w:rPr>
          <w:rFonts w:ascii="Times New Roman" w:hAnsi="Times New Roman" w:eastAsia="宋体"/>
          <w:sz w:val="21"/>
        </w:rPr>
        <w:t>V^{-}=(v_1^{-},v_2^{-},\ldots,v_m^{-})</w:t>
      </w:r>
    </w:p>
    <w:p>
      <w:pPr>
        <w:spacing w:line="360" w:lineRule="auto"/>
        <w:ind w:firstLine="480"/>
      </w:pPr>
      <w:r>
        <w:rPr>
          <w:rFonts w:ascii="Times New Roman" w:hAnsi="Times New Roman" w:eastAsia="宋体"/>
          <w:sz w:val="21"/>
        </w:rPr>
        <w:t>候选站点 $a_i$ 到正理想解的距离为：</w:t>
      </w:r>
    </w:p>
    <w:p>
      <w:pPr>
        <w:jc w:val="center"/>
      </w:pPr>
      <w:r>
        <w:rPr>
          <w:rFonts w:ascii="Times New Roman" w:hAnsi="Times New Roman" w:eastAsia="宋体"/>
          <w:sz w:val="21"/>
        </w:rPr>
        <w:t>D_i^{+}=\sqrt{\sum_{j=1}^{m}(v_{ij}-v_j^{+})^2}</w:t>
      </w:r>
    </w:p>
    <w:p>
      <w:pPr>
        <w:spacing w:line="360" w:lineRule="auto"/>
        <w:ind w:firstLine="480"/>
      </w:pPr>
      <w:r>
        <w:rPr>
          <w:rFonts w:ascii="Times New Roman" w:hAnsi="Times New Roman" w:eastAsia="宋体"/>
          <w:sz w:val="21"/>
        </w:rPr>
        <w:t>候选站点 $a_i$ 到负理想解的距离为：</w:t>
      </w:r>
    </w:p>
    <w:p>
      <w:pPr>
        <w:jc w:val="center"/>
      </w:pPr>
      <w:r>
        <w:rPr>
          <w:rFonts w:ascii="Times New Roman" w:hAnsi="Times New Roman" w:eastAsia="宋体"/>
          <w:sz w:val="21"/>
        </w:rPr>
        <w:t>D_i^{-}=\sqrt{\sum_{j=1}^{m}(v_{ij}-v_j^{-})^2}</w:t>
      </w:r>
    </w:p>
    <w:p>
      <w:pPr>
        <w:spacing w:line="360" w:lineRule="auto"/>
        <w:ind w:firstLine="480"/>
      </w:pPr>
      <w:r>
        <w:rPr>
          <w:rFonts w:ascii="Times New Roman" w:hAnsi="Times New Roman" w:eastAsia="宋体"/>
          <w:sz w:val="21"/>
        </w:rPr>
        <w:t>综合贴近度定义为：</w:t>
      </w:r>
    </w:p>
    <w:p>
      <w:pPr>
        <w:jc w:val="center"/>
      </w:pPr>
      <w:r>
        <w:rPr>
          <w:rFonts w:ascii="Times New Roman" w:hAnsi="Times New Roman" w:eastAsia="宋体"/>
          <w:sz w:val="21"/>
        </w:rPr>
        <w:t>T_i=\frac{D_i^{-}}{D_i^{+}+D_i^{-}}</w:t>
      </w:r>
    </w:p>
    <w:p>
      <w:pPr>
        <w:spacing w:line="360" w:lineRule="auto"/>
        <w:ind w:firstLine="480"/>
      </w:pPr>
      <w:r>
        <w:rPr>
          <w:rFonts w:ascii="Times New Roman" w:hAnsi="Times New Roman" w:eastAsia="宋体"/>
          <w:sz w:val="21"/>
        </w:rPr>
        <w:t>其中，$T_i\in[0,1]$。$T_i$ 越大，表示站点越接近正理想解、越远离负理想解，其作为地铁物流配送转运点的综合重要度越高。本文将 $T_i$ 作为站点重要度评价值，并据此形成候选站点排序。</w:t>
      </w:r>
    </w:p>
    <w:p>
      <w:pPr>
        <w:pStyle w:val="Heading3"/>
      </w:pPr>
      <w:r>
        <w:rPr>
          <w:rFonts w:ascii="Times New Roman" w:hAnsi="Times New Roman" w:eastAsia="宋体"/>
          <w:sz w:val="21"/>
        </w:rPr>
        <w:t>3.4.5 综合评价流程</w:t>
      </w:r>
    </w:p>
    <w:p>
      <w:pPr>
        <w:spacing w:line="360" w:lineRule="auto"/>
        <w:ind w:firstLine="480"/>
      </w:pPr>
      <w:r>
        <w:rPr>
          <w:rFonts w:ascii="Times New Roman" w:hAnsi="Times New Roman" w:eastAsia="宋体"/>
          <w:sz w:val="21"/>
        </w:rPr>
        <w:t>基于上述指标体系、权重确定方法和综合贴近度计算方法，本文构建改进 CRITIC-TOPSIS 综合评价流程，如表 3-6 所示。</w:t>
      </w:r>
    </w:p>
    <w:p>
      <w:pPr>
        <w:spacing w:line="360" w:lineRule="auto"/>
        <w:ind w:firstLine="480"/>
      </w:pPr>
      <w:r>
        <w:rPr>
          <w:rFonts w:ascii="Times New Roman" w:hAnsi="Times New Roman" w:eastAsia="宋体"/>
          <w:b/>
          <w:sz w:val="21"/>
        </w:rPr>
        <w:t>表 3-6 改进 CRITIC-TOPSIS 综合评价流程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步骤</w:t>
            </w:r>
          </w:p>
        </w:tc>
        <w:tc>
          <w:tcPr>
            <w:tcW w:type="dxa" w:w="2880"/>
            <w:vAlign w:val="center"/>
          </w:tcPr>
          <w:p>
            <w:pPr>
              <w:spacing w:line="240" w:lineRule="auto"/>
            </w:pPr>
            <w:r>
              <w:rPr>
                <w:rFonts w:ascii="宋体" w:hAnsi="宋体" w:eastAsia="宋体"/>
                <w:sz w:val="18"/>
              </w:rPr>
              <w:t>主要内容</w:t>
            </w:r>
          </w:p>
        </w:tc>
        <w:tc>
          <w:tcPr>
            <w:tcW w:type="dxa" w:w="2880"/>
            <w:vAlign w:val="center"/>
          </w:tcPr>
          <w:p>
            <w:pPr>
              <w:spacing w:line="240" w:lineRule="auto"/>
            </w:pPr>
            <w:r>
              <w:rPr>
                <w:rFonts w:ascii="宋体" w:hAnsi="宋体" w:eastAsia="宋体"/>
                <w:sz w:val="18"/>
              </w:rPr>
              <w:t>输出结果</w:t>
            </w:r>
          </w:p>
        </w:tc>
      </w:tr>
      <w:tr>
        <w:tc>
          <w:tcPr>
            <w:tcW w:type="dxa" w:w="2880"/>
            <w:vAlign w:val="center"/>
          </w:tcPr>
          <w:p>
            <w:pPr>
              <w:spacing w:line="240" w:lineRule="auto"/>
            </w:pPr>
            <w:r>
              <w:rPr>
                <w:rFonts w:ascii="宋体" w:hAnsi="宋体" w:eastAsia="宋体"/>
                <w:sz w:val="18"/>
              </w:rPr>
              <w:t>第一步</w:t>
            </w:r>
          </w:p>
        </w:tc>
        <w:tc>
          <w:tcPr>
            <w:tcW w:type="dxa" w:w="2880"/>
            <w:vAlign w:val="center"/>
          </w:tcPr>
          <w:p>
            <w:pPr>
              <w:spacing w:line="240" w:lineRule="auto"/>
            </w:pPr>
            <w:r>
              <w:rPr>
                <w:rFonts w:ascii="宋体" w:hAnsi="宋体" w:eastAsia="宋体"/>
                <w:sz w:val="18"/>
              </w:rPr>
              <w:t>构建候选站点集合与评价指标体系</w:t>
            </w:r>
          </w:p>
        </w:tc>
        <w:tc>
          <w:tcPr>
            <w:tcW w:type="dxa" w:w="2880"/>
            <w:vAlign w:val="center"/>
          </w:tcPr>
          <w:p>
            <w:pPr>
              <w:spacing w:line="240" w:lineRule="auto"/>
            </w:pPr>
            <w:r>
              <w:rPr>
                <w:rFonts w:ascii="宋体" w:hAnsi="宋体" w:eastAsia="宋体"/>
                <w:sz w:val="18"/>
              </w:rPr>
              <w:t>候选站点集合 $A$ 与指标集合 $C$</w:t>
            </w:r>
          </w:p>
        </w:tc>
      </w:tr>
      <w:tr>
        <w:tc>
          <w:tcPr>
            <w:tcW w:type="dxa" w:w="2880"/>
            <w:vAlign w:val="center"/>
          </w:tcPr>
          <w:p>
            <w:pPr>
              <w:spacing w:line="240" w:lineRule="auto"/>
            </w:pPr>
            <w:r>
              <w:rPr>
                <w:rFonts w:ascii="宋体" w:hAnsi="宋体" w:eastAsia="宋体"/>
                <w:sz w:val="18"/>
              </w:rPr>
              <w:t>第二步</w:t>
            </w:r>
          </w:p>
        </w:tc>
        <w:tc>
          <w:tcPr>
            <w:tcW w:type="dxa" w:w="2880"/>
            <w:vAlign w:val="center"/>
          </w:tcPr>
          <w:p>
            <w:pPr>
              <w:spacing w:line="240" w:lineRule="auto"/>
            </w:pPr>
            <w:r>
              <w:rPr>
                <w:rFonts w:ascii="宋体" w:hAnsi="宋体" w:eastAsia="宋体"/>
                <w:sz w:val="18"/>
              </w:rPr>
              <w:t>基于地铁网络拓扑计算中心性指标</w:t>
            </w:r>
          </w:p>
        </w:tc>
        <w:tc>
          <w:tcPr>
            <w:tcW w:type="dxa" w:w="2880"/>
            <w:vAlign w:val="center"/>
          </w:tcPr>
          <w:p>
            <w:pPr>
              <w:spacing w:line="240" w:lineRule="auto"/>
            </w:pPr>
            <w:r>
              <w:rPr>
                <w:rFonts w:ascii="宋体" w:hAnsi="宋体" w:eastAsia="宋体"/>
                <w:sz w:val="18"/>
              </w:rPr>
              <w:t>网络结构维度指标值</w:t>
            </w:r>
          </w:p>
        </w:tc>
      </w:tr>
      <w:tr>
        <w:tc>
          <w:tcPr>
            <w:tcW w:type="dxa" w:w="2880"/>
            <w:vAlign w:val="center"/>
          </w:tcPr>
          <w:p>
            <w:pPr>
              <w:spacing w:line="240" w:lineRule="auto"/>
            </w:pPr>
            <w:r>
              <w:rPr>
                <w:rFonts w:ascii="宋体" w:hAnsi="宋体" w:eastAsia="宋体"/>
                <w:sz w:val="18"/>
              </w:rPr>
              <w:t>第三步</w:t>
            </w:r>
          </w:p>
        </w:tc>
        <w:tc>
          <w:tcPr>
            <w:tcW w:type="dxa" w:w="2880"/>
            <w:vAlign w:val="center"/>
          </w:tcPr>
          <w:p>
            <w:pPr>
              <w:spacing w:line="240" w:lineRule="auto"/>
            </w:pPr>
            <w:r>
              <w:rPr>
                <w:rFonts w:ascii="宋体" w:hAnsi="宋体" w:eastAsia="宋体"/>
                <w:sz w:val="18"/>
              </w:rPr>
              <w:t>基于 800 m 有效站域缓冲区统计人口、住宅、零售和功能混合指标</w:t>
            </w:r>
          </w:p>
        </w:tc>
        <w:tc>
          <w:tcPr>
            <w:tcW w:type="dxa" w:w="2880"/>
            <w:vAlign w:val="center"/>
          </w:tcPr>
          <w:p>
            <w:pPr>
              <w:spacing w:line="240" w:lineRule="auto"/>
            </w:pPr>
            <w:r>
              <w:rPr>
                <w:rFonts w:ascii="宋体" w:hAnsi="宋体" w:eastAsia="宋体"/>
                <w:sz w:val="18"/>
              </w:rPr>
              <w:t>需求潜力维度指标值</w:t>
            </w:r>
          </w:p>
        </w:tc>
      </w:tr>
      <w:tr>
        <w:tc>
          <w:tcPr>
            <w:tcW w:type="dxa" w:w="2880"/>
            <w:vAlign w:val="center"/>
          </w:tcPr>
          <w:p>
            <w:pPr>
              <w:spacing w:line="240" w:lineRule="auto"/>
            </w:pPr>
            <w:r>
              <w:rPr>
                <w:rFonts w:ascii="宋体" w:hAnsi="宋体" w:eastAsia="宋体"/>
                <w:sz w:val="18"/>
              </w:rPr>
              <w:t>第四步</w:t>
            </w:r>
          </w:p>
        </w:tc>
        <w:tc>
          <w:tcPr>
            <w:tcW w:type="dxa" w:w="2880"/>
            <w:vAlign w:val="center"/>
          </w:tcPr>
          <w:p>
            <w:pPr>
              <w:spacing w:line="240" w:lineRule="auto"/>
            </w:pPr>
            <w:r>
              <w:rPr>
                <w:rFonts w:ascii="宋体" w:hAnsi="宋体" w:eastAsia="宋体"/>
                <w:sz w:val="18"/>
              </w:rPr>
              <w:t>对原始指标进行极差标准化处理</w:t>
            </w:r>
          </w:p>
        </w:tc>
        <w:tc>
          <w:tcPr>
            <w:tcW w:type="dxa" w:w="2880"/>
            <w:vAlign w:val="center"/>
          </w:tcPr>
          <w:p>
            <w:pPr>
              <w:spacing w:line="240" w:lineRule="auto"/>
            </w:pPr>
            <w:r>
              <w:rPr>
                <w:rFonts w:ascii="宋体" w:hAnsi="宋体" w:eastAsia="宋体"/>
                <w:sz w:val="18"/>
              </w:rPr>
              <w:t>无量纲评价矩阵 $Q$</w:t>
            </w:r>
          </w:p>
        </w:tc>
      </w:tr>
      <w:tr>
        <w:tc>
          <w:tcPr>
            <w:tcW w:type="dxa" w:w="2880"/>
            <w:vAlign w:val="center"/>
          </w:tcPr>
          <w:p>
            <w:pPr>
              <w:spacing w:line="240" w:lineRule="auto"/>
            </w:pPr>
            <w:r>
              <w:rPr>
                <w:rFonts w:ascii="宋体" w:hAnsi="宋体" w:eastAsia="宋体"/>
                <w:sz w:val="18"/>
              </w:rPr>
              <w:t>第五步</w:t>
            </w:r>
          </w:p>
        </w:tc>
        <w:tc>
          <w:tcPr>
            <w:tcW w:type="dxa" w:w="2880"/>
            <w:vAlign w:val="center"/>
          </w:tcPr>
          <w:p>
            <w:pPr>
              <w:spacing w:line="240" w:lineRule="auto"/>
            </w:pPr>
            <w:r>
              <w:rPr>
                <w:rFonts w:ascii="宋体" w:hAnsi="宋体" w:eastAsia="宋体"/>
                <w:sz w:val="18"/>
              </w:rPr>
              <w:t>基于 $Q$ 计算指标变异度、相关冲突性和修正信息量</w:t>
            </w:r>
          </w:p>
        </w:tc>
        <w:tc>
          <w:tcPr>
            <w:tcW w:type="dxa" w:w="2880"/>
            <w:vAlign w:val="center"/>
          </w:tcPr>
          <w:p>
            <w:pPr>
              <w:spacing w:line="240" w:lineRule="auto"/>
            </w:pPr>
            <w:r>
              <w:rPr>
                <w:rFonts w:ascii="宋体" w:hAnsi="宋体" w:eastAsia="宋体"/>
                <w:sz w:val="18"/>
              </w:rPr>
              <w:t>改进 CRITIC 权重向量 $W$</w:t>
            </w:r>
          </w:p>
        </w:tc>
      </w:tr>
      <w:tr>
        <w:tc>
          <w:tcPr>
            <w:tcW w:type="dxa" w:w="2880"/>
            <w:vAlign w:val="center"/>
          </w:tcPr>
          <w:p>
            <w:pPr>
              <w:spacing w:line="240" w:lineRule="auto"/>
            </w:pPr>
            <w:r>
              <w:rPr>
                <w:rFonts w:ascii="宋体" w:hAnsi="宋体" w:eastAsia="宋体"/>
                <w:sz w:val="18"/>
              </w:rPr>
              <w:t>第六步</w:t>
            </w:r>
          </w:p>
        </w:tc>
        <w:tc>
          <w:tcPr>
            <w:tcW w:type="dxa" w:w="2880"/>
            <w:vAlign w:val="center"/>
          </w:tcPr>
          <w:p>
            <w:pPr>
              <w:spacing w:line="240" w:lineRule="auto"/>
            </w:pPr>
            <w:r>
              <w:rPr>
                <w:rFonts w:ascii="宋体" w:hAnsi="宋体" w:eastAsia="宋体"/>
                <w:sz w:val="18"/>
              </w:rPr>
              <w:t>在 TOPSIS 阶段对原始评价矩阵进行平方和归一化</w:t>
            </w:r>
          </w:p>
        </w:tc>
        <w:tc>
          <w:tcPr>
            <w:tcW w:type="dxa" w:w="2880"/>
            <w:vAlign w:val="center"/>
          </w:tcPr>
          <w:p>
            <w:pPr>
              <w:spacing w:line="240" w:lineRule="auto"/>
            </w:pPr>
            <w:r>
              <w:rPr>
                <w:rFonts w:ascii="宋体" w:hAnsi="宋体" w:eastAsia="宋体"/>
                <w:sz w:val="18"/>
              </w:rPr>
              <w:t>TOPSIS 规范化矩阵 $Z$</w:t>
            </w:r>
          </w:p>
        </w:tc>
      </w:tr>
      <w:tr>
        <w:tc>
          <w:tcPr>
            <w:tcW w:type="dxa" w:w="2880"/>
            <w:vAlign w:val="center"/>
          </w:tcPr>
          <w:p>
            <w:pPr>
              <w:spacing w:line="240" w:lineRule="auto"/>
            </w:pPr>
            <w:r>
              <w:rPr>
                <w:rFonts w:ascii="宋体" w:hAnsi="宋体" w:eastAsia="宋体"/>
                <w:sz w:val="18"/>
              </w:rPr>
              <w:t>第七步</w:t>
            </w:r>
          </w:p>
        </w:tc>
        <w:tc>
          <w:tcPr>
            <w:tcW w:type="dxa" w:w="2880"/>
            <w:vAlign w:val="center"/>
          </w:tcPr>
          <w:p>
            <w:pPr>
              <w:spacing w:line="240" w:lineRule="auto"/>
            </w:pPr>
            <w:r>
              <w:rPr>
                <w:rFonts w:ascii="宋体" w:hAnsi="宋体" w:eastAsia="宋体"/>
                <w:sz w:val="18"/>
              </w:rPr>
              <w:t>结合权重向量构造加权规范化矩阵并计算综合贴近度</w:t>
            </w:r>
          </w:p>
        </w:tc>
        <w:tc>
          <w:tcPr>
            <w:tcW w:type="dxa" w:w="2880"/>
            <w:vAlign w:val="center"/>
          </w:tcPr>
          <w:p>
            <w:pPr>
              <w:spacing w:line="240" w:lineRule="auto"/>
            </w:pPr>
            <w:r>
              <w:rPr>
                <w:rFonts w:ascii="宋体" w:hAnsi="宋体" w:eastAsia="宋体"/>
                <w:sz w:val="18"/>
              </w:rPr>
              <w:t>站点重要度 $T_i$</w:t>
            </w:r>
          </w:p>
        </w:tc>
      </w:tr>
      <w:tr>
        <w:tc>
          <w:tcPr>
            <w:tcW w:type="dxa" w:w="2880"/>
            <w:vAlign w:val="center"/>
          </w:tcPr>
          <w:p>
            <w:pPr>
              <w:spacing w:line="240" w:lineRule="auto"/>
            </w:pPr>
            <w:r>
              <w:rPr>
                <w:rFonts w:ascii="宋体" w:hAnsi="宋体" w:eastAsia="宋体"/>
                <w:sz w:val="18"/>
              </w:rPr>
              <w:t>第八步</w:t>
            </w:r>
          </w:p>
        </w:tc>
        <w:tc>
          <w:tcPr>
            <w:tcW w:type="dxa" w:w="2880"/>
            <w:vAlign w:val="center"/>
          </w:tcPr>
          <w:p>
            <w:pPr>
              <w:spacing w:line="240" w:lineRule="auto"/>
            </w:pPr>
            <w:r>
              <w:rPr>
                <w:rFonts w:ascii="宋体" w:hAnsi="宋体" w:eastAsia="宋体"/>
                <w:sz w:val="18"/>
              </w:rPr>
              <w:t>按综合贴近度排序并筛选候选集</w:t>
            </w:r>
          </w:p>
        </w:tc>
        <w:tc>
          <w:tcPr>
            <w:tcW w:type="dxa" w:w="2880"/>
            <w:vAlign w:val="center"/>
          </w:tcPr>
          <w:p>
            <w:pPr>
              <w:spacing w:line="240" w:lineRule="auto"/>
            </w:pPr>
            <w:r>
              <w:rPr>
                <w:rFonts w:ascii="宋体" w:hAnsi="宋体" w:eastAsia="宋体"/>
                <w:sz w:val="18"/>
              </w:rPr>
              <w:t>备选地铁物流配送转运点集合</w:t>
            </w:r>
          </w:p>
        </w:tc>
      </w:tr>
    </w:tbl>
    <w:p>
      <w:pPr>
        <w:spacing w:line="360" w:lineRule="auto"/>
        <w:ind w:firstLine="480"/>
      </w:pPr>
      <w:r>
        <w:rPr>
          <w:rFonts w:ascii="Times New Roman" w:hAnsi="Times New Roman" w:eastAsia="宋体"/>
          <w:sz w:val="21"/>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距离排序，二者分别服务于“指标信息量识别”和“候选对象相对接近度计算”两个环节。综合贴近度排序结果可作为后续选址—分配模型的候选站点筛选依据。</w:t>
      </w:r>
    </w:p>
    <w:p>
      <w:pPr>
        <w:spacing w:line="360" w:lineRule="auto"/>
        <w:ind w:firstLine="420"/>
      </w:pPr>
      <w:r>
        <w:rPr>
          <w:rFonts w:ascii="Times New Roman" w:hAnsi="Times New Roman" w:eastAsia="宋体"/>
          <w:sz w:val="21"/>
        </w:rPr>
        <w:t>需要说明的是，本章重点在于构建候选转运点综合评价方法，具体权重计算结果、站点综合贴近度排序以及候选转运点集合的确定，应结合实际案例数据展开。因此，本文将在第五章实证分析中带入成都市武侯区地铁站点、人口栅格、POI 和站域缓冲区数据，计算各指标权重与站点综合评价值，并据此确定进入布局优化模型的候选转运点集合。</w:t>
      </w:r>
    </w:p>
    <w:p>
      <w:pPr>
        <w:pStyle w:val="Heading2"/>
      </w:pPr>
      <w:r>
        <w:rPr>
          <w:rFonts w:ascii="Times New Roman" w:hAnsi="Times New Roman" w:eastAsia="宋体"/>
          <w:sz w:val="21"/>
        </w:rPr>
        <w:t>3.5 本章小结</w:t>
      </w:r>
    </w:p>
    <w:p>
      <w:pPr>
        <w:spacing w:line="360" w:lineRule="auto"/>
        <w:ind w:firstLine="480"/>
      </w:pPr>
      <w:r>
        <w:rPr>
          <w:rFonts w:ascii="Times New Roman" w:hAnsi="Times New Roman" w:eastAsia="宋体"/>
          <w:sz w:val="21"/>
        </w:rPr>
        <w:t>本章围绕地铁物流配送转运点候选站点识别问题，构建了基于网络结构与需求潜力的综合评价方法。首先，从地铁物流配送转运点衔接地铁干线运输与城市末端配送的功能定位出发，分析了单纯依据网络拓扑或单纯依据周边需求筛选站点的局限性，提出“网络结构—需求潜力”协同评价思路，并明确评价结果服务于后续选址—分配优化模型的候选集合构建。</w:t>
      </w:r>
    </w:p>
    <w:p>
      <w:pPr>
        <w:spacing w:line="360" w:lineRule="auto"/>
        <w:ind w:firstLine="480"/>
      </w:pPr>
      <w:r>
        <w:rPr>
          <w:rFonts w:ascii="Times New Roman" w:hAnsi="Times New Roman" w:eastAsia="宋体"/>
          <w:sz w:val="21"/>
        </w:rPr>
        <w:t>其次，本文从网络结构和需求潜力两个维度构建评价指标体系。网络结构维度基于复杂网络理论，选取度中心性、介数中心性、接近中心性和特征向量中心性，分别刻画站点的直接连接能力、路径中介作用、整体可达能力和核心邻接关系；需求潜力维度基于站域缓冲区，选取人口密度、住宅数量、城市零售集群数量和功能结构混合度，反映站点周边潜在末端配送需求基础。上述指标均为正向指标，能够从供给侧网络组织能力和需求侧空间支撑条件两个方面评价站点转运适宜性。</w:t>
      </w:r>
    </w:p>
    <w:p>
      <w:pPr>
        <w:spacing w:line="360" w:lineRule="auto"/>
        <w:ind w:firstLine="480"/>
      </w:pPr>
      <w:r>
        <w:rPr>
          <w:rFonts w:ascii="Times New Roman" w:hAnsi="Times New Roman" w:eastAsia="宋体"/>
          <w:sz w:val="21"/>
        </w:rPr>
        <w:t>最后，本文构建改进 CRITIC-TOPSIS 综合评价模型。改进 CRITIC 方法在考虑指标变异度的基础上，引入相关系数绝对值刻画指标信息重复程度，并通过信息量平滑修正降低极端权重影响；TOPSIS 方法则根据候选站点与正、负理想解之间的相对距离形成综合贴近度排序。该方法能够减少主观赋权影响，兼顾指标差异性、相关冲突性和排序结果可解释性。下一章将在本章候选站点评价方法基础上，进一步构建地铁物流配送转运点选址—分配优化模型；第五章将结合实际数据计算站点综合评价结果并确定候选转运点集合。</w:t>
      </w:r>
    </w:p>
    <w:p/>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