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rPr>
        <w:t>第三章 基于网络结构与需求潜力的地铁物流配送转运点综合评价</w:t>
      </w:r>
    </w:p>
    <w:p>
      <w:pPr>
        <w:spacing w:line="360" w:lineRule="auto"/>
        <w:ind w:firstLine="480"/>
      </w:pPr>
      <w:r>
        <w:rPr>
          <w:rFonts w:ascii="宋体" w:hAnsi="宋体" w:eastAsia="宋体"/>
          <w:sz w:val="24"/>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宋体" w:hAnsi="宋体" w:eastAsia="宋体"/>
          <w:sz w:val="24"/>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rPr>
          <w:rFonts w:ascii="宋体" w:hAnsi="宋体" w:eastAsia="宋体"/>
        </w:rPr>
        <w:t>3.1 综合评价框架与指标构建原则</w:t>
      </w:r>
    </w:p>
    <w:p>
      <w:pPr>
        <w:pStyle w:val="Heading3"/>
      </w:pPr>
      <w:r>
        <w:rPr>
          <w:rFonts w:ascii="宋体" w:hAnsi="宋体" w:eastAsia="宋体"/>
        </w:rPr>
        <w:t>3.1.1 网络结构与需求潜力协同的框架设计</w:t>
      </w:r>
    </w:p>
    <w:p>
      <w:pPr>
        <w:spacing w:line="360" w:lineRule="auto"/>
        <w:ind w:firstLine="480"/>
      </w:pPr>
      <w:r>
        <w:rPr>
          <w:rFonts w:ascii="宋体" w:hAnsi="宋体" w:eastAsia="宋体"/>
          <w:sz w:val="24"/>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宋体" w:hAnsi="宋体" w:eastAsia="宋体"/>
          <w:sz w:val="24"/>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宋体" w:hAnsi="宋体" w:eastAsia="宋体"/>
          <w:sz w:val="24"/>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spacing w:line="360" w:lineRule="auto"/>
        <w:ind w:firstLine="480"/>
      </w:pPr>
      <w:r>
        <w:rPr>
          <w:rFonts w:ascii="宋体" w:hAnsi="宋体" w:eastAsia="宋体"/>
          <w:sz w:val="24"/>
        </w:rPr>
        <w:t>设研究范围内候选地铁站点集合为：</w:t>
      </w:r>
    </w:p>
    <w:p>
      <w:pPr>
        <w:spacing w:line="360" w:lineRule="auto"/>
        <w:jc w:val="center"/>
      </w:pPr>
      <w:r>
        <w:rPr>
          <w:rFonts w:ascii="Times New Roman" w:hAnsi="Times New Roman" w:eastAsia="宋体"/>
          <w:sz w:val="24"/>
        </w:rPr>
        <w:t>A={a₁,a₂,…,aₙ}</w:t>
      </w:r>
    </w:p>
    <w:p>
      <w:pPr>
        <w:spacing w:line="360" w:lineRule="auto"/>
        <w:ind w:firstLine="480"/>
      </w:pPr>
      <w:r>
        <w:rPr>
          <w:rFonts w:ascii="宋体" w:hAnsi="宋体" w:eastAsia="宋体"/>
          <w:sz w:val="24"/>
        </w:rPr>
        <w:t>式中，A 表示候选地铁站点集合；aᵢ 表示第 i 个候选站点；n 表示候选站点数量。</w:t>
      </w:r>
    </w:p>
    <w:p>
      <w:pPr>
        <w:spacing w:line="360" w:lineRule="auto"/>
        <w:ind w:firstLine="480"/>
      </w:pPr>
      <w:r>
        <w:rPr>
          <w:rFonts w:ascii="宋体" w:hAnsi="宋体" w:eastAsia="宋体"/>
          <w:sz w:val="24"/>
        </w:rPr>
        <w:t>综合评价指标集合可表示为：</w:t>
      </w:r>
    </w:p>
    <w:p>
      <w:pPr>
        <w:spacing w:line="360" w:lineRule="auto"/>
        <w:jc w:val="center"/>
      </w:pPr>
      <w:r>
        <w:rPr>
          <w:rFonts w:ascii="Times New Roman" w:hAnsi="Times New Roman" w:eastAsia="宋体"/>
          <w:sz w:val="24"/>
        </w:rPr>
        <w:t>C=C_N∪C_D</w:t>
      </w:r>
    </w:p>
    <w:p>
      <w:pPr>
        <w:spacing w:line="360" w:lineRule="auto"/>
        <w:ind w:firstLine="480"/>
      </w:pPr>
      <w:r>
        <w:rPr>
          <w:rFonts w:ascii="宋体" w:hAnsi="宋体" w:eastAsia="宋体"/>
          <w:sz w:val="24"/>
        </w:rPr>
        <w:t>式中，C_N 表示网络结构维度指标集合；C_D 表示需求潜力维度指标集合。</w:t>
      </w:r>
    </w:p>
    <w:p>
      <w:pPr>
        <w:spacing w:line="360" w:lineRule="auto"/>
        <w:ind w:firstLine="480"/>
      </w:pPr>
      <w:r>
        <w:rPr>
          <w:rFonts w:ascii="宋体" w:hAnsi="宋体" w:eastAsia="宋体"/>
          <w:sz w:val="24"/>
        </w:rPr>
        <w:t>本文构建的地铁物流配送转运点综合评价指标向量为：</w:t>
      </w:r>
    </w:p>
    <w:p>
      <w:pPr>
        <w:spacing w:line="360" w:lineRule="auto"/>
        <w:jc w:val="center"/>
      </w:pPr>
      <w:r>
        <w:rPr>
          <w:rFonts w:ascii="Times New Roman" w:hAnsi="Times New Roman" w:eastAsia="宋体"/>
          <w:sz w:val="24"/>
        </w:rPr>
        <w:t>xᵢ=(DCᵢ,BCᵢ,CCᵢ,ECᵢ,PDᵢ,Hᵢ,Mᵢ,Eᵢ)</w:t>
      </w:r>
    </w:p>
    <w:p>
      <w:pPr>
        <w:spacing w:line="360" w:lineRule="auto"/>
        <w:ind w:firstLine="480"/>
      </w:pPr>
      <w:r>
        <w:rPr>
          <w:rFonts w:ascii="宋体" w:hAnsi="宋体" w:eastAsia="宋体"/>
          <w:sz w:val="24"/>
        </w:rPr>
        <w:t>式中，DCᵢ、BCᵢ、CCᵢ、ECᵢ 分别表示站点 aᵢ 的度中心性、介数中心性、接近中心性和特征向量中心性；PDᵢ、Hᵢ、Mᵢ、Eᵢ 分别表示站点 aᵢ 周边人口密度、住宅数量、城市零售集群数量和功能结构混合度。前四项指标对应网络结构属性，后四项指标对应需求潜力属性。</w:t>
      </w:r>
    </w:p>
    <w:p>
      <w:pPr>
        <w:spacing w:line="360" w:lineRule="auto"/>
        <w:ind w:firstLine="480"/>
      </w:pPr>
      <w:r>
        <w:rPr>
          <w:rFonts w:ascii="宋体" w:hAnsi="宋体" w:eastAsia="宋体"/>
          <w:sz w:val="24"/>
        </w:rPr>
        <w:t>在综合评价方法上，本文采用改进 CRITIC-TOPSIS 方法对候选站点进行综合评价。CRITIC 方法能够同时考虑指标自身变异程度和指标间相关冲突性，适用于网络结构指标与需求潜力指标并存、指标之间可能存在相关关系的评价场景；TOPSIS 方法能够通过候选站点与正、负理想解之间的相对接近程度刻画综合优劣，具有计算过程清晰、排序结果直观和可解释性较强等特点。由此形成的评价流程为：首先构建候选站点指标矩阵；其次对指标数据进行标准化处理；再次基于改进 CRITIC 方法确定指标权重；最后利用 TOPSIS 方法计算各站点综合贴近度，并据此识别备选地铁物流配送转运点。</w:t>
      </w:r>
    </w:p>
    <w:p>
      <w:pPr>
        <w:pStyle w:val="Heading3"/>
      </w:pPr>
      <w:r>
        <w:rPr>
          <w:rFonts w:ascii="宋体" w:hAnsi="宋体" w:eastAsia="宋体"/>
        </w:rPr>
        <w:t>3.1.2 指标构建原则</w:t>
      </w:r>
    </w:p>
    <w:p>
      <w:pPr>
        <w:spacing w:line="360" w:lineRule="auto"/>
        <w:ind w:firstLine="480"/>
      </w:pPr>
      <w:r>
        <w:rPr>
          <w:rFonts w:ascii="宋体" w:hAnsi="宋体" w:eastAsia="宋体"/>
          <w:sz w:val="24"/>
        </w:rPr>
        <w:t>为保证评价指标体系能够准确反映地铁物流配送转运点的功能属性，并为后续综合评价和布局优化提供稳定、可比的数据基础，本文在指标构建过程中遵循以下原则。</w:t>
      </w:r>
    </w:p>
    <w:p>
      <w:pPr>
        <w:spacing w:line="360" w:lineRule="auto"/>
        <w:ind w:firstLine="480"/>
      </w:pPr>
      <w:r>
        <w:rPr>
          <w:rFonts w:ascii="宋体" w:hAnsi="宋体" w:eastAsia="宋体"/>
          <w:sz w:val="24"/>
        </w:rPr>
        <w:t>第一，科学性原则。指标选取应符合地铁物流配送转运点的功能定位，能够体现站点在地铁运输网络中的组织能力以及站域范围内的末端物流需求基础。网络结构指标应来源于复杂网络理论中具有明确含义的中心性指标，需求潜力指标应能够反映中心城区末端配送活动中人口、居住、商业和功能混合等关键因素。</w:t>
      </w:r>
    </w:p>
    <w:p>
      <w:pPr>
        <w:spacing w:line="360" w:lineRule="auto"/>
        <w:ind w:firstLine="480"/>
      </w:pPr>
      <w:r>
        <w:rPr>
          <w:rFonts w:ascii="宋体" w:hAnsi="宋体" w:eastAsia="宋体"/>
          <w:sz w:val="24"/>
        </w:rPr>
        <w:t>第二，系统性原则。地铁物流配送转运点评价不是单一属性判断，而是涉及网络结构、需求基础和末端接驳潜力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宋体" w:hAnsi="宋体" w:eastAsia="宋体"/>
          <w:sz w:val="24"/>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宋体" w:hAnsi="宋体" w:eastAsia="宋体"/>
          <w:sz w:val="24"/>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宋体" w:hAnsi="宋体" w:eastAsia="宋体"/>
          <w:sz w:val="24"/>
        </w:rPr>
        <w:t>第五，衔接性原则。第三章综合评价结果应能够服务于后续布局优化模型。评价结果不仅用于识别备选转运点，还可作为后续选址—分配模型中的候选集筛选依据和站点适宜性参考。因此，指标体系应与第四章模型构建保持逻辑一致，避免评价阶段与优化阶段脱节。</w:t>
      </w:r>
    </w:p>
    <w:p>
      <w:pPr>
        <w:pStyle w:val="Heading2"/>
      </w:pPr>
      <w:r>
        <w:rPr>
          <w:rFonts w:ascii="宋体" w:hAnsi="宋体" w:eastAsia="宋体"/>
        </w:rPr>
        <w:t>3.2 网络结构维度</w:t>
      </w:r>
    </w:p>
    <w:p>
      <w:pPr>
        <w:pStyle w:val="Heading3"/>
      </w:pPr>
      <w:r>
        <w:rPr>
          <w:rFonts w:ascii="宋体" w:hAnsi="宋体" w:eastAsia="宋体"/>
        </w:rPr>
        <w:t>3.2.1 基于复杂网络理论的地铁网络建模</w:t>
      </w:r>
    </w:p>
    <w:p>
      <w:pPr>
        <w:spacing w:line="360" w:lineRule="auto"/>
        <w:ind w:firstLine="480"/>
      </w:pPr>
      <w:r>
        <w:rPr>
          <w:rFonts w:ascii="宋体" w:hAnsi="宋体" w:eastAsia="宋体"/>
          <w:sz w:val="24"/>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宋体" w:hAnsi="宋体" w:eastAsia="宋体"/>
          <w:sz w:val="24"/>
        </w:rPr>
        <w:t>设地铁网络表示为无向图：</w:t>
      </w:r>
    </w:p>
    <w:p>
      <w:pPr>
        <w:spacing w:line="360" w:lineRule="auto"/>
        <w:jc w:val="center"/>
      </w:pPr>
      <w:r>
        <w:rPr>
          <w:rFonts w:ascii="Times New Roman" w:hAnsi="Times New Roman" w:eastAsia="宋体"/>
          <w:sz w:val="24"/>
        </w:rPr>
        <w:t>G=(V,E)</w:t>
      </w:r>
    </w:p>
    <w:p>
      <w:pPr>
        <w:spacing w:line="360" w:lineRule="auto"/>
        <w:ind w:firstLine="480"/>
      </w:pPr>
      <w:r>
        <w:rPr>
          <w:rFonts w:ascii="宋体" w:hAnsi="宋体" w:eastAsia="宋体"/>
          <w:sz w:val="24"/>
        </w:rPr>
        <w:t>式中，G 表示地铁网络；V={v₁,v₂,…,vₙ} 表示地铁站点节点集合；E={e₁,e₂,…,eₘ} 表示站点之间的连接边集合；n 为站点数量；m 为边数量。</w:t>
      </w:r>
    </w:p>
    <w:p>
      <w:pPr>
        <w:spacing w:line="360" w:lineRule="auto"/>
        <w:ind w:firstLine="480"/>
      </w:pPr>
      <w:r>
        <w:rPr>
          <w:rFonts w:ascii="宋体" w:hAnsi="宋体" w:eastAsia="宋体"/>
          <w:sz w:val="24"/>
        </w:rPr>
        <w:t>在地铁网络建模过程中，将地铁站点抽象为网络节点，将相邻站点之间的运营区间或有效连接关系抽象为网络边。若站点 vᵢ 与站点 vⱼ 之间存在直接连接关系，则有 aᵢⱼ=1；否则 aᵢⱼ=0。由此可得到地铁网络的邻接矩阵 A=[aᵢⱼ]ₙ×ₙ。对于无向网络，有 aᵢⱼ=aⱼᵢ。</w:t>
      </w:r>
    </w:p>
    <w:p>
      <w:pPr>
        <w:spacing w:line="360" w:lineRule="auto"/>
        <w:ind w:firstLine="480"/>
      </w:pPr>
      <w:r>
        <w:rPr>
          <w:rFonts w:ascii="宋体" w:hAnsi="宋体" w:eastAsia="宋体"/>
          <w:sz w:val="24"/>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rPr>
          <w:rFonts w:ascii="宋体" w:hAnsi="宋体" w:eastAsia="宋体"/>
        </w:rPr>
        <w:t>3.2.2 地铁网络节点拓扑中心度指标</w:t>
      </w:r>
    </w:p>
    <w:p>
      <w:pPr>
        <w:spacing w:line="360" w:lineRule="auto"/>
        <w:ind w:firstLine="480"/>
      </w:pPr>
      <w:r>
        <w:rPr>
          <w:rFonts w:ascii="宋体" w:hAnsi="宋体" w:eastAsia="宋体"/>
          <w:sz w:val="24"/>
        </w:rPr>
        <w:t>（1）度中心性</w:t>
      </w:r>
    </w:p>
    <w:p>
      <w:pPr>
        <w:spacing w:line="360" w:lineRule="auto"/>
        <w:ind w:firstLine="480"/>
      </w:pPr>
      <w:r>
        <w:rPr>
          <w:rFonts w:ascii="宋体" w:hAnsi="宋体" w:eastAsia="宋体"/>
          <w:sz w:val="24"/>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spacing w:line="360" w:lineRule="auto"/>
        <w:jc w:val="center"/>
      </w:pPr>
      <w:r>
        <w:rPr>
          <w:rFonts w:ascii="Times New Roman" w:hAnsi="Times New Roman" w:eastAsia="宋体"/>
          <w:sz w:val="24"/>
        </w:rPr>
        <w:t>DCᵢ=kᵢ/(n−1),  kᵢ=Σⱼ₌₁ⁿ aᵢⱼ</w:t>
      </w:r>
    </w:p>
    <w:p>
      <w:pPr>
        <w:spacing w:line="360" w:lineRule="auto"/>
        <w:ind w:firstLine="480"/>
      </w:pPr>
      <w:r>
        <w:rPr>
          <w:rFonts w:ascii="宋体" w:hAnsi="宋体" w:eastAsia="宋体"/>
          <w:sz w:val="24"/>
        </w:rPr>
        <w:t>式中，DCᵢ 表示节点 vᵢ 的度中心性；kᵢ 表示节点 vᵢ 的度；aᵢⱼ 表示节点 vᵢ 与节点 vⱼ 之间是否存在连接关系；n 表示网络节点总数。</w:t>
      </w:r>
    </w:p>
    <w:p>
      <w:pPr>
        <w:spacing w:line="360" w:lineRule="auto"/>
        <w:ind w:firstLine="480"/>
      </w:pPr>
      <w:r>
        <w:rPr>
          <w:rFonts w:ascii="宋体" w:hAnsi="宋体" w:eastAsia="宋体"/>
          <w:sz w:val="24"/>
        </w:rPr>
        <w:t>（2）介数中心性</w:t>
      </w:r>
    </w:p>
    <w:p>
      <w:pPr>
        <w:spacing w:line="360" w:lineRule="auto"/>
        <w:ind w:firstLine="480"/>
      </w:pPr>
      <w:r>
        <w:rPr>
          <w:rFonts w:ascii="宋体" w:hAnsi="宋体" w:eastAsia="宋体"/>
          <w:sz w:val="24"/>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spacing w:line="360" w:lineRule="auto"/>
        <w:jc w:val="center"/>
      </w:pPr>
      <w:r>
        <w:rPr>
          <w:rFonts w:ascii="Times New Roman" w:hAnsi="Times New Roman" w:eastAsia="宋体"/>
          <w:sz w:val="24"/>
        </w:rPr>
        <w:t>BCᵢ=Σₛ≠ᵢ≠ₜ σₛₜ(i)/σₛₜ</w:t>
      </w:r>
    </w:p>
    <w:p>
      <w:pPr>
        <w:spacing w:line="360" w:lineRule="auto"/>
        <w:ind w:firstLine="480"/>
      </w:pPr>
      <w:r>
        <w:rPr>
          <w:rFonts w:ascii="宋体" w:hAnsi="宋体" w:eastAsia="宋体"/>
          <w:sz w:val="24"/>
        </w:rPr>
        <w:t>式中，BCᵢ 表示节点 vᵢ 的介数中心性；σₛₜ 表示节点 vₛ 与节点 vₜ 之间最短路径的总数；σₛₜ(i) 表示经过节点 vᵢ 的最短路径数量。为便于不同规模网络之间进行比较，通常可对介数中心性进行标准化处理。</w:t>
      </w:r>
    </w:p>
    <w:p>
      <w:pPr>
        <w:spacing w:line="360" w:lineRule="auto"/>
        <w:jc w:val="center"/>
      </w:pPr>
      <w:r>
        <w:rPr>
          <w:rFonts w:ascii="Times New Roman" w:hAnsi="Times New Roman" w:eastAsia="宋体"/>
          <w:sz w:val="24"/>
        </w:rPr>
        <w:t>BCᵢ′=BCᵢ/[(n−1)(n−2)/2]</w:t>
      </w:r>
    </w:p>
    <w:p>
      <w:pPr>
        <w:spacing w:line="360" w:lineRule="auto"/>
        <w:ind w:firstLine="480"/>
      </w:pPr>
      <w:r>
        <w:rPr>
          <w:rFonts w:ascii="宋体" w:hAnsi="宋体" w:eastAsia="宋体"/>
          <w:sz w:val="24"/>
        </w:rPr>
        <w:t>（3）接近中心性</w:t>
      </w:r>
    </w:p>
    <w:p>
      <w:pPr>
        <w:spacing w:line="360" w:lineRule="auto"/>
        <w:ind w:firstLine="480"/>
      </w:pPr>
      <w:r>
        <w:rPr>
          <w:rFonts w:ascii="宋体" w:hAnsi="宋体" w:eastAsia="宋体"/>
          <w:sz w:val="24"/>
        </w:rPr>
        <w:t>接近中心性用于衡量节点到网络中其他节点的平均距离水平。接近中心性越高，说明该节点到其他节点的路径距离越短，整体可达性越强。对于地铁物流配送转运点而言，接近中心性较高的站点能够在较短路径距离内连接更多站点，有利于提高地铁干线运输的整体时效性。</w:t>
      </w:r>
    </w:p>
    <w:p>
      <w:pPr>
        <w:spacing w:line="360" w:lineRule="auto"/>
        <w:jc w:val="center"/>
      </w:pPr>
      <w:r>
        <w:rPr>
          <w:rFonts w:ascii="Times New Roman" w:hAnsi="Times New Roman" w:eastAsia="宋体"/>
          <w:sz w:val="24"/>
        </w:rPr>
        <w:t>CCᵢ=(n−1)/Σⱼ≠ᵢ dᵢⱼ</w:t>
      </w:r>
    </w:p>
    <w:p>
      <w:pPr>
        <w:spacing w:line="360" w:lineRule="auto"/>
        <w:ind w:firstLine="480"/>
      </w:pPr>
      <w:r>
        <w:rPr>
          <w:rFonts w:ascii="宋体" w:hAnsi="宋体" w:eastAsia="宋体"/>
          <w:sz w:val="24"/>
        </w:rPr>
        <w:t>式中，CCᵢ 表示节点 vᵢ 的接近中心性；dᵢⱼ 表示节点 vᵢ 与节点 vⱼ 之间的最短路径距离；n 表示网络节点总数。</w:t>
      </w:r>
    </w:p>
    <w:p>
      <w:pPr>
        <w:spacing w:line="360" w:lineRule="auto"/>
        <w:ind w:firstLine="480"/>
      </w:pPr>
      <w:r>
        <w:rPr>
          <w:rFonts w:ascii="宋体" w:hAnsi="宋体" w:eastAsia="宋体"/>
          <w:sz w:val="24"/>
        </w:rPr>
        <w:t>（4）特征向量中心性</w:t>
      </w:r>
    </w:p>
    <w:p>
      <w:pPr>
        <w:spacing w:line="360" w:lineRule="auto"/>
        <w:ind w:firstLine="480"/>
      </w:pPr>
      <w:r>
        <w:rPr>
          <w:rFonts w:ascii="宋体" w:hAnsi="宋体" w:eastAsia="宋体"/>
          <w:sz w:val="24"/>
        </w:rPr>
        <w:t>特征向量中心性不仅考虑节点自身的连接数量，还考虑其相邻节点的重要程度。若某一节点与多个重要节点相连接，则该节点的特征向量中心性较高。对于地铁物流配送转运点而言，较高的特征向量中心性意味着该站点处于较高质量的网络邻接关系中，有助于与网络核心节点形成高效联系。</w:t>
      </w:r>
    </w:p>
    <w:p>
      <w:pPr>
        <w:spacing w:line="360" w:lineRule="auto"/>
        <w:jc w:val="center"/>
      </w:pPr>
      <w:r>
        <w:rPr>
          <w:rFonts w:ascii="Times New Roman" w:hAnsi="Times New Roman" w:eastAsia="宋体"/>
          <w:sz w:val="24"/>
        </w:rPr>
        <w:t>ECᵢ=(1/λ)Σⱼ₌₁ⁿ aᵢⱼECⱼ</w:t>
      </w:r>
    </w:p>
    <w:p>
      <w:pPr>
        <w:spacing w:line="360" w:lineRule="auto"/>
        <w:jc w:val="center"/>
      </w:pPr>
      <w:r>
        <w:rPr>
          <w:rFonts w:ascii="Times New Roman" w:hAnsi="Times New Roman" w:eastAsia="宋体"/>
          <w:sz w:val="24"/>
        </w:rPr>
        <w:t>A e=λe</w:t>
      </w:r>
    </w:p>
    <w:p>
      <w:pPr>
        <w:spacing w:line="360" w:lineRule="auto"/>
        <w:ind w:firstLine="480"/>
      </w:pPr>
      <w:r>
        <w:rPr>
          <w:rFonts w:ascii="宋体" w:hAnsi="宋体" w:eastAsia="宋体"/>
          <w:sz w:val="24"/>
        </w:rPr>
        <w:t>式中，ECᵢ 表示节点 vᵢ 的特征向量中心性；A 表示地铁网络邻接矩阵；e 表示特征向量中心性向量；λ 表示对应特征值。综上，度中心性、介数中心性、接近中心性和特征向量中心性分别从直接连接能力、路径中介作用、整体可达性和核心邻接关系四个方面刻画地铁站点的网络结构特征。</w:t>
      </w:r>
    </w:p>
    <w:p>
      <w:pPr>
        <w:pStyle w:val="Heading2"/>
      </w:pPr>
      <w:r>
        <w:rPr>
          <w:rFonts w:ascii="宋体" w:hAnsi="宋体" w:eastAsia="宋体"/>
        </w:rPr>
        <w:t>3.3 需求潜力维度</w:t>
      </w:r>
    </w:p>
    <w:p>
      <w:pPr>
        <w:pStyle w:val="Heading3"/>
      </w:pPr>
      <w:r>
        <w:rPr>
          <w:rFonts w:ascii="宋体" w:hAnsi="宋体" w:eastAsia="宋体"/>
        </w:rPr>
        <w:t>3.3.1 周边环境指标体系构建</w:t>
      </w:r>
    </w:p>
    <w:p>
      <w:pPr>
        <w:spacing w:line="360" w:lineRule="auto"/>
        <w:ind w:firstLine="480"/>
      </w:pPr>
      <w:r>
        <w:rPr>
          <w:rFonts w:ascii="宋体" w:hAnsi="宋体" w:eastAsia="宋体"/>
          <w:sz w:val="24"/>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宋体" w:hAnsi="宋体" w:eastAsia="宋体"/>
          <w:sz w:val="24"/>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宋体" w:hAnsi="宋体" w:eastAsia="宋体"/>
          <w:sz w:val="24"/>
        </w:rPr>
        <w:t>（1）人口密度</w:t>
      </w:r>
    </w:p>
    <w:p>
      <w:pPr>
        <w:spacing w:line="360" w:lineRule="auto"/>
        <w:ind w:firstLine="480"/>
      </w:pPr>
      <w:r>
        <w:rPr>
          <w:rFonts w:ascii="宋体" w:hAnsi="宋体" w:eastAsia="宋体"/>
          <w:sz w:val="24"/>
        </w:rPr>
        <w:t>人口密度反映单位面积内人口分布强度。人口密度越高，通常意味着站点周边具有更强的生活消费需求和末端配送需求。设站点 aᵢ 周边缓冲区范围内人口总量为 Pᵢ，缓冲区面积为 Sᵢ，则人口密度可表示为：</w:t>
      </w:r>
    </w:p>
    <w:p>
      <w:pPr>
        <w:spacing w:line="360" w:lineRule="auto"/>
        <w:jc w:val="center"/>
      </w:pPr>
      <w:r>
        <w:rPr>
          <w:rFonts w:ascii="Times New Roman" w:hAnsi="Times New Roman" w:eastAsia="宋体"/>
          <w:sz w:val="24"/>
        </w:rPr>
        <w:t>PDᵢ=Pᵢ/Sᵢ</w:t>
      </w:r>
    </w:p>
    <w:p>
      <w:pPr>
        <w:spacing w:line="360" w:lineRule="auto"/>
        <w:ind w:firstLine="480"/>
      </w:pPr>
      <w:r>
        <w:rPr>
          <w:rFonts w:ascii="宋体" w:hAnsi="宋体" w:eastAsia="宋体"/>
          <w:sz w:val="24"/>
        </w:rPr>
        <w:t>式中，PDᵢ 表示站点 aᵢ 的人口密度；Pᵢ 表示缓冲区内人口总量；Sᵢ 表示缓冲区面积。</w:t>
      </w:r>
    </w:p>
    <w:p>
      <w:pPr>
        <w:spacing w:line="360" w:lineRule="auto"/>
        <w:ind w:firstLine="480"/>
      </w:pPr>
      <w:r>
        <w:rPr>
          <w:rFonts w:ascii="宋体" w:hAnsi="宋体" w:eastAsia="宋体"/>
          <w:sz w:val="24"/>
        </w:rPr>
        <w:t>（2）住宅数量</w:t>
      </w:r>
    </w:p>
    <w:p>
      <w:pPr>
        <w:spacing w:line="360" w:lineRule="auto"/>
        <w:ind w:firstLine="480"/>
      </w:pPr>
      <w:r>
        <w:rPr>
          <w:rFonts w:ascii="宋体" w:hAnsi="宋体" w:eastAsia="宋体"/>
          <w:sz w:val="24"/>
        </w:rPr>
        <w:t>住宅数量用于反映站点周边居住单元规模。住宅数量越多，说明站点周边居民日常生活消费和快递配送需求越集中，具备较强的社区型末端物流需求基础。</w:t>
      </w:r>
    </w:p>
    <w:p>
      <w:pPr>
        <w:spacing w:line="360" w:lineRule="auto"/>
        <w:jc w:val="center"/>
      </w:pPr>
      <w:r>
        <w:rPr>
          <w:rFonts w:ascii="Times New Roman" w:hAnsi="Times New Roman" w:eastAsia="宋体"/>
          <w:sz w:val="24"/>
        </w:rPr>
        <w:t>Hᵢ=Σₕ₌₁ᵠ Iₕ</w:t>
      </w:r>
    </w:p>
    <w:p>
      <w:pPr>
        <w:spacing w:line="360" w:lineRule="auto"/>
        <w:ind w:firstLine="480"/>
      </w:pPr>
      <w:r>
        <w:rPr>
          <w:rFonts w:ascii="宋体" w:hAnsi="宋体" w:eastAsia="宋体"/>
          <w:sz w:val="24"/>
        </w:rPr>
        <w:t>式中，Hᵢ 表示站点 aᵢ 周边住宅数量；Iₕ 表示第 h 个住宅类空间对象是否位于站点缓冲区内，若位于缓冲区内则取 1，否则取 0；q 表示住宅类空间对象总数。</w:t>
      </w:r>
    </w:p>
    <w:p>
      <w:pPr>
        <w:spacing w:line="360" w:lineRule="auto"/>
        <w:ind w:firstLine="480"/>
      </w:pPr>
      <w:r>
        <w:rPr>
          <w:rFonts w:ascii="宋体" w:hAnsi="宋体" w:eastAsia="宋体"/>
          <w:sz w:val="24"/>
        </w:rPr>
        <w:t>（3）城市零售集群数量</w:t>
      </w:r>
    </w:p>
    <w:p>
      <w:pPr>
        <w:spacing w:line="360" w:lineRule="auto"/>
        <w:ind w:firstLine="480"/>
      </w:pPr>
      <w:r>
        <w:rPr>
          <w:rFonts w:ascii="宋体" w:hAnsi="宋体" w:eastAsia="宋体"/>
          <w:sz w:val="24"/>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spacing w:line="360" w:lineRule="auto"/>
        <w:jc w:val="center"/>
      </w:pPr>
      <w:r>
        <w:rPr>
          <w:rFonts w:ascii="Times New Roman" w:hAnsi="Times New Roman" w:eastAsia="宋体"/>
          <w:sz w:val="24"/>
        </w:rPr>
        <w:t>Mᵢ=Σₘ₌₁ʳ Iₘ</w:t>
      </w:r>
    </w:p>
    <w:p>
      <w:pPr>
        <w:spacing w:line="360" w:lineRule="auto"/>
        <w:ind w:firstLine="480"/>
      </w:pPr>
      <w:r>
        <w:rPr>
          <w:rFonts w:ascii="宋体" w:hAnsi="宋体" w:eastAsia="宋体"/>
          <w:sz w:val="24"/>
        </w:rPr>
        <w:t>式中，Mᵢ 表示站点 aᵢ 周边城市零售集群数量；Iₘ 表示第 m 个零售集群是否位于站点缓冲区内，若位于缓冲区内则取 1，否则取 0；r 表示零售集群总数。</w:t>
      </w:r>
    </w:p>
    <w:p>
      <w:pPr>
        <w:spacing w:line="360" w:lineRule="auto"/>
        <w:ind w:firstLine="480"/>
      </w:pPr>
      <w:r>
        <w:rPr>
          <w:rFonts w:ascii="宋体" w:hAnsi="宋体" w:eastAsia="宋体"/>
          <w:sz w:val="24"/>
        </w:rPr>
        <w:t>（4）功能结构混合度</w:t>
      </w:r>
    </w:p>
    <w:p>
      <w:pPr>
        <w:spacing w:line="360" w:lineRule="auto"/>
        <w:ind w:firstLine="480"/>
      </w:pPr>
      <w:r>
        <w:rPr>
          <w:rFonts w:ascii="宋体" w:hAnsi="宋体" w:eastAsia="宋体"/>
          <w:sz w:val="24"/>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spacing w:line="360" w:lineRule="auto"/>
        <w:jc w:val="center"/>
      </w:pPr>
      <w:r>
        <w:rPr>
          <w:rFonts w:ascii="Times New Roman" w:hAnsi="Times New Roman" w:eastAsia="宋体"/>
          <w:sz w:val="24"/>
        </w:rPr>
        <w:t>Eᵢ=−[Σₖ₌₁ᴷ pᵢₖ ln(pᵢₖ)]/lnK</w:t>
      </w:r>
    </w:p>
    <w:p>
      <w:pPr>
        <w:spacing w:line="360" w:lineRule="auto"/>
        <w:ind w:firstLine="480"/>
      </w:pPr>
      <w:r>
        <w:rPr>
          <w:rFonts w:ascii="宋体" w:hAnsi="宋体" w:eastAsia="宋体"/>
          <w:sz w:val="24"/>
        </w:rPr>
        <w:t>式中，Eᵢ 表示站点 aᵢ 周边功能结构混合度；K 表示城市功能类型数量；pᵢₖ 表示站点 aᵢ 缓冲区内第 k 类功能要素占全部功能要素的比例。Eᵢ 的取值越大，说明站点周边功能类型越均衡，功能混合程度越高。</w:t>
      </w:r>
    </w:p>
    <w:p>
      <w:pPr>
        <w:pStyle w:val="Heading3"/>
      </w:pPr>
      <w:r>
        <w:rPr>
          <w:rFonts w:ascii="宋体" w:hAnsi="宋体" w:eastAsia="宋体"/>
        </w:rPr>
        <w:t>3.3.2 基于缓冲区的数据清洗规则</w:t>
      </w:r>
    </w:p>
    <w:p>
      <w:pPr>
        <w:spacing w:line="360" w:lineRule="auto"/>
        <w:ind w:firstLine="480"/>
      </w:pPr>
      <w:r>
        <w:rPr>
          <w:rFonts w:ascii="宋体" w:hAnsi="宋体" w:eastAsia="宋体"/>
          <w:sz w:val="24"/>
        </w:rPr>
        <w:t>为保证需求潜力指标计算的准确性和可比性，本文以地铁站点为中心构建统一空间缓冲区，并在缓冲区范围内提取人口、住宅、零售集群和城市功能要素等数据。缓冲区方法能够将站点周边一定服务范围内的空间环境转化为可量化指标，适用于评价地铁站点周边末端物流需求潜力。</w:t>
      </w:r>
    </w:p>
    <w:p>
      <w:pPr>
        <w:spacing w:line="360" w:lineRule="auto"/>
        <w:ind w:firstLine="480"/>
      </w:pPr>
      <w:r>
        <w:rPr>
          <w:rFonts w:ascii="宋体" w:hAnsi="宋体" w:eastAsia="宋体"/>
          <w:sz w:val="24"/>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宋体" w:hAnsi="宋体" w:eastAsia="宋体"/>
          <w:sz w:val="24"/>
        </w:rPr>
        <w:t>通过上述数据清洗规则，可以提高需求潜力指标计算的规范性和稳定性，为后续综合评价提供可靠的数据基础。</w:t>
      </w:r>
    </w:p>
    <w:p>
      <w:pPr>
        <w:pStyle w:val="Heading3"/>
      </w:pPr>
      <w:r>
        <w:rPr>
          <w:rFonts w:ascii="宋体" w:hAnsi="宋体" w:eastAsia="宋体"/>
        </w:rPr>
        <w:t>3.3.3 基于缓冲区的指标计算</w:t>
      </w:r>
    </w:p>
    <w:p>
      <w:pPr>
        <w:spacing w:line="360" w:lineRule="auto"/>
        <w:ind w:firstLine="480"/>
      </w:pPr>
      <w:r>
        <w:rPr>
          <w:rFonts w:ascii="宋体" w:hAnsi="宋体" w:eastAsia="宋体"/>
          <w:sz w:val="24"/>
        </w:rPr>
        <w:t>基于缓冲区的数据清洗完成后，可进一步计算各候选站点的需求潜力指标。设站点 aᵢ 的缓冲区为 Bᵢ，则站点周边环境指标均在 Bᵢ 范围内进行统计。</w:t>
      </w:r>
    </w:p>
    <w:p>
      <w:pPr>
        <w:spacing w:line="360" w:lineRule="auto"/>
        <w:jc w:val="center"/>
      </w:pPr>
      <w:r>
        <w:rPr>
          <w:rFonts w:ascii="Times New Roman" w:hAnsi="Times New Roman" w:eastAsia="宋体"/>
          <w:sz w:val="24"/>
        </w:rPr>
        <w:t>PDᵢ=P(Bᵢ)/S(Bᵢ)</w:t>
      </w:r>
    </w:p>
    <w:p>
      <w:pPr>
        <w:spacing w:line="360" w:lineRule="auto"/>
        <w:ind w:firstLine="480"/>
      </w:pPr>
      <w:r>
        <w:rPr>
          <w:rFonts w:ascii="宋体" w:hAnsi="宋体" w:eastAsia="宋体"/>
          <w:sz w:val="24"/>
        </w:rPr>
        <w:t>式中，P(Bᵢ) 表示缓冲区 Bᵢ 内人口总量；S(Bᵢ) 表示缓冲区面积。</w:t>
      </w:r>
    </w:p>
    <w:p>
      <w:pPr>
        <w:spacing w:line="360" w:lineRule="auto"/>
        <w:jc w:val="center"/>
      </w:pPr>
      <w:r>
        <w:rPr>
          <w:rFonts w:ascii="Times New Roman" w:hAnsi="Times New Roman" w:eastAsia="宋体"/>
          <w:sz w:val="24"/>
        </w:rPr>
        <w:t>Hᵢ=Σₕ₌₁ᵠ I(oₕ∈Bᵢ)</w:t>
      </w:r>
    </w:p>
    <w:p>
      <w:pPr>
        <w:spacing w:line="360" w:lineRule="auto"/>
        <w:ind w:firstLine="480"/>
      </w:pPr>
      <w:r>
        <w:rPr>
          <w:rFonts w:ascii="宋体" w:hAnsi="宋体" w:eastAsia="宋体"/>
          <w:sz w:val="24"/>
        </w:rPr>
        <w:t>式中，oₕ 表示第 h 个住宅类空间对象；若 oₕ 位于缓冲区 Bᵢ 内，则 I(oₕ∈Bᵢ)=1，否则为 0。</w:t>
      </w:r>
    </w:p>
    <w:p>
      <w:pPr>
        <w:spacing w:line="360" w:lineRule="auto"/>
        <w:jc w:val="center"/>
      </w:pPr>
      <w:r>
        <w:rPr>
          <w:rFonts w:ascii="Times New Roman" w:hAnsi="Times New Roman" w:eastAsia="宋体"/>
          <w:sz w:val="24"/>
        </w:rPr>
        <w:t>Mᵢ=Σₘ₌₁ʳ I(oₘ∈Bᵢ)</w:t>
      </w:r>
    </w:p>
    <w:p>
      <w:pPr>
        <w:spacing w:line="360" w:lineRule="auto"/>
        <w:ind w:firstLine="480"/>
      </w:pPr>
      <w:r>
        <w:rPr>
          <w:rFonts w:ascii="宋体" w:hAnsi="宋体" w:eastAsia="宋体"/>
          <w:sz w:val="24"/>
        </w:rPr>
        <w:t>式中，oₘ 表示第 m 个零售集群对象；若 oₘ 位于缓冲区 Bᵢ 内，则 I(oₘ∈Bᵢ)=1，否则为 0。</w:t>
      </w:r>
    </w:p>
    <w:p>
      <w:pPr>
        <w:spacing w:line="360" w:lineRule="auto"/>
        <w:ind w:firstLine="480"/>
      </w:pPr>
      <w:r>
        <w:rPr>
          <w:rFonts w:ascii="宋体" w:hAnsi="宋体" w:eastAsia="宋体"/>
          <w:sz w:val="24"/>
        </w:rPr>
        <w:t>功能结构混合度通过缓冲区内不同功能类型对象的比例计算。设缓冲区 Bᵢ 内共有 K 类功能对象，第 k 类功能对象数量为 Nᵢₖ，缓冲区内全部功能对象数量为：</w:t>
      </w:r>
    </w:p>
    <w:p>
      <w:pPr>
        <w:spacing w:line="360" w:lineRule="auto"/>
        <w:jc w:val="center"/>
      </w:pPr>
      <w:r>
        <w:rPr>
          <w:rFonts w:ascii="Times New Roman" w:hAnsi="Times New Roman" w:eastAsia="宋体"/>
          <w:sz w:val="24"/>
        </w:rPr>
        <w:t>Nᵢ=Σₖ₌₁ᴷ Nᵢₖ,  pᵢₖ=Nᵢₖ/Nᵢ</w:t>
      </w:r>
    </w:p>
    <w:p>
      <w:pPr>
        <w:spacing w:line="360" w:lineRule="auto"/>
        <w:jc w:val="center"/>
      </w:pPr>
      <w:r>
        <w:rPr>
          <w:rFonts w:ascii="Times New Roman" w:hAnsi="Times New Roman" w:eastAsia="宋体"/>
          <w:sz w:val="24"/>
        </w:rPr>
        <w:t>Eᵢ=−[Σₖ₌₁ᴷ pᵢₖ ln(pᵢₖ)]/lnK</w:t>
      </w:r>
    </w:p>
    <w:p>
      <w:pPr>
        <w:spacing w:line="360" w:lineRule="auto"/>
        <w:ind w:firstLine="480"/>
      </w:pPr>
      <w:r>
        <w:rPr>
          <w:rFonts w:ascii="宋体" w:hAnsi="宋体" w:eastAsia="宋体"/>
          <w:sz w:val="24"/>
        </w:rPr>
        <w:t>当某一类功能对象数量为 0 时，按照 pᵢₖln(pᵢₖ)=0 处理。Eᵢ 越接近 1，说明缓冲区内不同功能类型分布越均衡，功能混合程度越高；Eᵢ 越接近 0，说明缓冲区内功能类型越单一。通过上述计算，可得到各候选站点在需求潜力维度下的指标值。结合网络结构指标，即可构建地铁物流配送转运点综合评价指标矩阵。</w:t>
      </w:r>
    </w:p>
    <w:p>
      <w:pPr>
        <w:pStyle w:val="Heading2"/>
      </w:pPr>
      <w:r>
        <w:rPr>
          <w:rFonts w:ascii="宋体" w:hAnsi="宋体" w:eastAsia="宋体"/>
        </w:rPr>
        <w:t>3.4 地铁物流配送转运点重要度综合评价模型构建</w:t>
      </w:r>
    </w:p>
    <w:p>
      <w:pPr>
        <w:pStyle w:val="Heading3"/>
      </w:pPr>
      <w:r>
        <w:rPr>
          <w:rFonts w:ascii="宋体" w:hAnsi="宋体" w:eastAsia="宋体"/>
        </w:rPr>
        <w:t>3.4.1 多准则决策方法比较与选择</w:t>
      </w:r>
    </w:p>
    <w:p>
      <w:pPr>
        <w:spacing w:line="360" w:lineRule="auto"/>
        <w:ind w:firstLine="480"/>
      </w:pPr>
      <w:r>
        <w:rPr>
          <w:rFonts w:ascii="宋体" w:hAnsi="宋体" w:eastAsia="宋体"/>
          <w:sz w:val="24"/>
        </w:rPr>
        <w:t>地铁物流配送转运点评价涉及多个指标，且不同指标在量纲、取值范围和评价含义上存在差异，属于典型的多准则决策问题。常见的多准则决策方法包括层次分析法、熵权法、CRITIC 方法、灰色关联分析法、VIKOR 方法和 TOPSIS 方法等。</w:t>
      </w:r>
    </w:p>
    <w:p>
      <w:pPr>
        <w:spacing w:line="360" w:lineRule="auto"/>
        <w:ind w:firstLine="480"/>
      </w:pPr>
      <w:r>
        <w:rPr>
          <w:rFonts w:ascii="宋体" w:hAnsi="宋体" w:eastAsia="宋体"/>
          <w:sz w:val="24"/>
        </w:rPr>
        <w:t>层次分析法能够将复杂问题分解为目标层、准则层和指标层，通过专家判断确定指标权重，具有较强的解释性，但其权重结果受主观判断影响较大。熵权法根据指标离散程度确定权重，能够减少主观因素干扰，但主要关注指标自身差异性，较少考虑指标之间的相关关系。CRITIC 方法同时考虑指标变异程度和指标间冲突性，能够较好反映指标所包含的信息量，适用于多指标之间可能存在相关性的评价场景。TOPSIS 方法通过计算评价对象与正、负理想解之间的距离确定综合贴近度，排序逻辑清晰，结果直观，适合用于候选对象综合优劣排序。</w:t>
      </w:r>
    </w:p>
    <w:p>
      <w:pPr>
        <w:spacing w:line="360" w:lineRule="auto"/>
        <w:ind w:firstLine="480"/>
      </w:pPr>
      <w:r>
        <w:rPr>
          <w:rFonts w:ascii="宋体" w:hAnsi="宋体" w:eastAsia="宋体"/>
          <w:sz w:val="24"/>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本文采用改进 CRITIC 方法确定指标客观权重，并结合 TOPSIS 方法计算站点综合贴近度，形成改进 CRITIC-TOPSIS 综合评价模型。</w:t>
      </w:r>
    </w:p>
    <w:p>
      <w:pPr>
        <w:spacing w:line="360" w:lineRule="auto"/>
        <w:ind w:firstLine="480"/>
      </w:pPr>
      <w:r>
        <w:rPr>
          <w:rFonts w:ascii="宋体" w:hAnsi="宋体" w:eastAsia="宋体"/>
          <w:sz w:val="24"/>
        </w:rPr>
        <w:t>该方法具有以下适用性：第一，能够减少主观赋权带来的不确定性；第二，能够同时考虑指标差异性和指标相关冲突性；第三，能够通过综合贴近度对候选站点进行排序；第四，能够为后续选址优化模型提供候选集合和站点适宜性依据。</w:t>
      </w:r>
    </w:p>
    <w:p>
      <w:pPr>
        <w:pStyle w:val="Heading3"/>
      </w:pPr>
      <w:r>
        <w:rPr>
          <w:rFonts w:ascii="宋体" w:hAnsi="宋体" w:eastAsia="宋体"/>
        </w:rPr>
        <w:t>3.4.2 指标数据标准化与评价矩阵构建</w:t>
      </w:r>
    </w:p>
    <w:p>
      <w:pPr>
        <w:spacing w:line="360" w:lineRule="auto"/>
        <w:ind w:firstLine="480"/>
      </w:pPr>
      <w:r>
        <w:rPr>
          <w:rFonts w:ascii="宋体" w:hAnsi="宋体" w:eastAsia="宋体"/>
          <w:sz w:val="24"/>
        </w:rPr>
        <w:t>设候选站点集合为 A={a₁,a₂,…,aₙ}，评价指标集合为 C={c₁,c₂,…,cₘ}，其中 n 表示候选站点数量，m 表示评价指标数量。候选站点的原始评价矩阵可表示为：</w:t>
      </w:r>
    </w:p>
    <w:p>
      <w:pPr>
        <w:spacing w:line="360" w:lineRule="auto"/>
        <w:jc w:val="center"/>
      </w:pPr>
      <w:r>
        <w:rPr>
          <w:rFonts w:ascii="Times New Roman" w:hAnsi="Times New Roman" w:eastAsia="宋体"/>
          <w:sz w:val="24"/>
        </w:rPr>
        <w:t>X=(xᵢⱼ)ₙ×ₘ</w:t>
      </w:r>
    </w:p>
    <w:p>
      <w:pPr>
        <w:spacing w:line="360" w:lineRule="auto"/>
        <w:ind w:firstLine="480"/>
      </w:pPr>
      <w:r>
        <w:rPr>
          <w:rFonts w:ascii="宋体" w:hAnsi="宋体" w:eastAsia="宋体"/>
          <w:sz w:val="24"/>
        </w:rPr>
        <w:t>式中，xᵢⱼ 表示第 i 个候选站点在第 j 个评价指标上的原始值。由于不同指标量纲和取值范围不同，直接进行综合评价会导致量纲较大或数值波动较大的指标对结果产生过强影响。因此，需要对原始指标进行无量纲化处理。本文所选指标均为正向指标，即指标值越大表示站点在相应维度上的表现越好。对于正向指标，采用极差标准化方法：</w:t>
      </w:r>
    </w:p>
    <w:p>
      <w:pPr>
        <w:spacing w:line="360" w:lineRule="auto"/>
        <w:jc w:val="center"/>
      </w:pPr>
      <w:r>
        <w:rPr>
          <w:rFonts w:ascii="Times New Roman" w:hAnsi="Times New Roman" w:eastAsia="宋体"/>
          <w:sz w:val="24"/>
        </w:rPr>
        <w:t>zᵢⱼ=(xᵢⱼ−min(xⱼ))/(max(xⱼ)−min(xⱼ))</w:t>
      </w:r>
    </w:p>
    <w:p>
      <w:pPr>
        <w:spacing w:line="360" w:lineRule="auto"/>
        <w:ind w:firstLine="480"/>
      </w:pPr>
      <w:r>
        <w:rPr>
          <w:rFonts w:ascii="宋体" w:hAnsi="宋体" w:eastAsia="宋体"/>
          <w:sz w:val="24"/>
        </w:rPr>
        <w:t>式中，zᵢⱼ 表示标准化后的指标值；max(xⱼ) 和 min(xⱼ) 分别表示第 j 个指标的最大值和最小值。若某一指标在所有候选站点中的取值相同，则该指标无法区分不同站点，其标准化值可统一处理为 0，或在权重计算中赋予较低信息量。经过标准化处理后，可得到标准化评价矩阵 Z=(zᵢⱼ)ₙ×ₘ。</w:t>
      </w:r>
    </w:p>
    <w:p>
      <w:pPr>
        <w:pStyle w:val="Heading3"/>
      </w:pPr>
      <w:r>
        <w:rPr>
          <w:rFonts w:ascii="宋体" w:hAnsi="宋体" w:eastAsia="宋体"/>
        </w:rPr>
        <w:t>3.4.3 改进 CRITIC 权重确定方法</w:t>
      </w:r>
    </w:p>
    <w:p>
      <w:pPr>
        <w:spacing w:line="360" w:lineRule="auto"/>
        <w:ind w:firstLine="480"/>
      </w:pPr>
      <w:r>
        <w:rPr>
          <w:rFonts w:ascii="宋体" w:hAnsi="宋体" w:eastAsia="宋体"/>
          <w:sz w:val="24"/>
        </w:rPr>
        <w:t>CRITIC 方法是一种基于指标客观信息量确定权重的方法，其核心思想是：指标权重不仅取决于指标自身的变异程度，还取决于该指标与其他指标之间的冲突性。若某一指标在不同评价对象之间差异较大，且与其他指标相关性较弱，则该指标包含的信息量较大，应赋予较高权重；反之，若某一指标差异较小，或与其他指标高度相关，则其提供的独立信息较少，权重应相对较低。</w:t>
      </w:r>
    </w:p>
    <w:p>
      <w:pPr>
        <w:spacing w:line="360" w:lineRule="auto"/>
        <w:jc w:val="center"/>
      </w:pPr>
      <w:r>
        <w:rPr>
          <w:rFonts w:ascii="Times New Roman" w:hAnsi="Times New Roman" w:eastAsia="宋体"/>
          <w:sz w:val="24"/>
        </w:rPr>
        <w:t>σⱼ=[(1/n)Σᵢ₌₁ⁿ(zᵢⱼ−z̄ⱼ)²]¹ᐟ²</w:t>
      </w:r>
    </w:p>
    <w:p>
      <w:pPr>
        <w:spacing w:line="360" w:lineRule="auto"/>
        <w:ind w:firstLine="480"/>
      </w:pPr>
      <w:r>
        <w:rPr>
          <w:rFonts w:ascii="宋体" w:hAnsi="宋体" w:eastAsia="宋体"/>
          <w:sz w:val="24"/>
        </w:rPr>
        <w:t>式中，σⱼ 表示第 j 个指标的标准差；z̄ⱼ 表示第 j 个指标标准化值的均值。</w:t>
      </w:r>
    </w:p>
    <w:p>
      <w:pPr>
        <w:spacing w:line="360" w:lineRule="auto"/>
        <w:jc w:val="center"/>
      </w:pPr>
      <w:r>
        <w:rPr>
          <w:rFonts w:ascii="Times New Roman" w:hAnsi="Times New Roman" w:eastAsia="宋体"/>
          <w:sz w:val="24"/>
        </w:rPr>
        <w:t>rⱼₖ=Σᵢ₌₁ⁿ(zᵢⱼ−z̄ⱼ)(zᵢₖ−z̄ₖ) / {[Σᵢ₌₁ⁿ(zᵢⱼ−z̄ⱼ)²]¹ᐟ²[Σᵢ₌₁ⁿ(zᵢₖ−z̄ₖ)²]¹ᐟ²}</w:t>
      </w:r>
    </w:p>
    <w:p>
      <w:pPr>
        <w:spacing w:line="360" w:lineRule="auto"/>
        <w:ind w:firstLine="480"/>
      </w:pPr>
      <w:r>
        <w:rPr>
          <w:rFonts w:ascii="宋体" w:hAnsi="宋体" w:eastAsia="宋体"/>
          <w:sz w:val="24"/>
        </w:rPr>
        <w:t>式中，rⱼₖ 表示指标 j 与指标 k 之间的相关系数。指标 j 与其他指标之间的冲突性可表示为：</w:t>
      </w:r>
    </w:p>
    <w:p>
      <w:pPr>
        <w:spacing w:line="360" w:lineRule="auto"/>
        <w:jc w:val="center"/>
      </w:pPr>
      <w:r>
        <w:rPr>
          <w:rFonts w:ascii="Times New Roman" w:hAnsi="Times New Roman" w:eastAsia="宋体"/>
          <w:sz w:val="24"/>
        </w:rPr>
        <w:t>Rⱼ=Σₖ₌₁ᵐ(1−rⱼₖ)</w:t>
      </w:r>
    </w:p>
    <w:p>
      <w:pPr>
        <w:spacing w:line="360" w:lineRule="auto"/>
        <w:ind w:firstLine="480"/>
      </w:pPr>
      <w:r>
        <w:rPr>
          <w:rFonts w:ascii="宋体" w:hAnsi="宋体" w:eastAsia="宋体"/>
          <w:sz w:val="24"/>
        </w:rPr>
        <w:t>若指标 j 与其他指标相关性越低，则 1−rⱼₖ 越大，其冲突性越强，说明该指标能够提供更多独立信息。进一步地，第 j 个指标的信息量可表示为：</w:t>
      </w:r>
    </w:p>
    <w:p>
      <w:pPr>
        <w:spacing w:line="360" w:lineRule="auto"/>
        <w:jc w:val="center"/>
      </w:pPr>
      <w:r>
        <w:rPr>
          <w:rFonts w:ascii="Times New Roman" w:hAnsi="Times New Roman" w:eastAsia="宋体"/>
          <w:sz w:val="24"/>
        </w:rPr>
        <w:t>Gⱼ=σⱼRⱼ</w:t>
      </w:r>
    </w:p>
    <w:p>
      <w:pPr>
        <w:spacing w:line="360" w:lineRule="auto"/>
        <w:ind w:firstLine="480"/>
      </w:pPr>
      <w:r>
        <w:rPr>
          <w:rFonts w:ascii="宋体" w:hAnsi="宋体" w:eastAsia="宋体"/>
          <w:sz w:val="24"/>
        </w:rPr>
        <w:t>最后，对各指标信息量进行归一化处理，得到指标权重：</w:t>
      </w:r>
    </w:p>
    <w:p>
      <w:pPr>
        <w:spacing w:line="360" w:lineRule="auto"/>
        <w:jc w:val="center"/>
      </w:pPr>
      <w:r>
        <w:rPr>
          <w:rFonts w:ascii="Times New Roman" w:hAnsi="Times New Roman" w:eastAsia="宋体"/>
          <w:sz w:val="24"/>
        </w:rPr>
        <w:t>wⱼ=Gⱼ/Σⱼ₌₁ᵐGⱼ,  Σⱼ₌₁ᵐwⱼ=1,  wⱼ≥0</w:t>
      </w:r>
    </w:p>
    <w:p>
      <w:pPr>
        <w:spacing w:line="360" w:lineRule="auto"/>
        <w:ind w:firstLine="480"/>
      </w:pPr>
      <w:r>
        <w:rPr>
          <w:rFonts w:ascii="宋体" w:hAnsi="宋体" w:eastAsia="宋体"/>
          <w:sz w:val="24"/>
        </w:rPr>
        <w:t>通过改进 CRITIC 方法确定权重，可以在不依赖主观判断的情况下，综合考虑网络结构指标和需求潜力指标的信息差异，为后续 TOPSIS 综合评价提供客观权重基础。</w:t>
      </w:r>
    </w:p>
    <w:p>
      <w:pPr>
        <w:pStyle w:val="Heading3"/>
      </w:pPr>
      <w:r>
        <w:rPr>
          <w:rFonts w:ascii="宋体" w:hAnsi="宋体" w:eastAsia="宋体"/>
        </w:rPr>
        <w:t>3.4.4 TOPSIS 综合贴近度计算方法</w:t>
      </w:r>
    </w:p>
    <w:p>
      <w:pPr>
        <w:spacing w:line="360" w:lineRule="auto"/>
        <w:ind w:firstLine="480"/>
      </w:pPr>
      <w:r>
        <w:rPr>
          <w:rFonts w:ascii="宋体" w:hAnsi="宋体" w:eastAsia="宋体"/>
          <w:sz w:val="24"/>
        </w:rPr>
        <w:t>TOPSIS 方法的基本思想是：最优评价对象应尽可能接近正理想解，同时尽可能远离负理想解。对于地铁物流配送转运点评价而言，正理想解表示各指标均达到最优状态的虚拟站点，负理想解表示各指标均处于最差状态的虚拟站点。候选站点与正、负理想解之间的相对距离，可用于衡量其综合适宜性。</w:t>
      </w:r>
    </w:p>
    <w:p>
      <w:pPr>
        <w:spacing w:line="360" w:lineRule="auto"/>
        <w:ind w:firstLine="480"/>
      </w:pPr>
      <w:r>
        <w:rPr>
          <w:rFonts w:ascii="宋体" w:hAnsi="宋体" w:eastAsia="宋体"/>
          <w:sz w:val="24"/>
        </w:rPr>
        <w:t>首先，基于标准化评价矩阵 Z 和指标权重 wⱼ，构建加权标准化矩阵 V=(vᵢⱼ)ₙ×ₘ，其中：</w:t>
      </w:r>
    </w:p>
    <w:p>
      <w:pPr>
        <w:spacing w:line="360" w:lineRule="auto"/>
        <w:jc w:val="center"/>
      </w:pPr>
      <w:r>
        <w:rPr>
          <w:rFonts w:ascii="Times New Roman" w:hAnsi="Times New Roman" w:eastAsia="宋体"/>
          <w:sz w:val="24"/>
        </w:rPr>
        <w:t>vᵢⱼ=wⱼzᵢⱼ</w:t>
      </w:r>
    </w:p>
    <w:p>
      <w:pPr>
        <w:spacing w:line="360" w:lineRule="auto"/>
        <w:ind w:firstLine="480"/>
      </w:pPr>
      <w:r>
        <w:rPr>
          <w:rFonts w:ascii="宋体" w:hAnsi="宋体" w:eastAsia="宋体"/>
          <w:sz w:val="24"/>
        </w:rPr>
        <w:t>其次，确定正理想解和负理想解。由于本文所选指标均为正向指标，正理想解和负理想解可分别表示为：</w:t>
      </w:r>
    </w:p>
    <w:p>
      <w:pPr>
        <w:spacing w:line="360" w:lineRule="auto"/>
        <w:jc w:val="center"/>
      </w:pPr>
      <w:r>
        <w:rPr>
          <w:rFonts w:ascii="Times New Roman" w:hAnsi="Times New Roman" w:eastAsia="宋体"/>
          <w:sz w:val="24"/>
        </w:rPr>
        <w:t>V⁺={v₁⁺,v₂⁺,…,vₘ⁺},  vⱼ⁺=maxᵢ vᵢⱼ</w:t>
      </w:r>
    </w:p>
    <w:p>
      <w:pPr>
        <w:spacing w:line="360" w:lineRule="auto"/>
        <w:jc w:val="center"/>
      </w:pPr>
      <w:r>
        <w:rPr>
          <w:rFonts w:ascii="Times New Roman" w:hAnsi="Times New Roman" w:eastAsia="宋体"/>
          <w:sz w:val="24"/>
        </w:rPr>
        <w:t>V⁻={v₁⁻,v₂⁻,…,vₘ⁻},  vⱼ⁻=minᵢ vᵢⱼ</w:t>
      </w:r>
    </w:p>
    <w:p>
      <w:pPr>
        <w:spacing w:line="360" w:lineRule="auto"/>
        <w:ind w:firstLine="480"/>
      </w:pPr>
      <w:r>
        <w:rPr>
          <w:rFonts w:ascii="宋体" w:hAnsi="宋体" w:eastAsia="宋体"/>
          <w:sz w:val="24"/>
        </w:rPr>
        <w:t>再次，计算候选站点 aᵢ 与正理想解和负理想解之间的距离：</w:t>
      </w:r>
    </w:p>
    <w:p>
      <w:pPr>
        <w:spacing w:line="360" w:lineRule="auto"/>
        <w:jc w:val="center"/>
      </w:pPr>
      <w:r>
        <w:rPr>
          <w:rFonts w:ascii="Times New Roman" w:hAnsi="Times New Roman" w:eastAsia="宋体"/>
          <w:sz w:val="24"/>
        </w:rPr>
        <w:t>Dᵢ⁺=[Σⱼ₌₁ᵐ(vᵢⱼ−vⱼ⁺)²]¹ᐟ²</w:t>
      </w:r>
    </w:p>
    <w:p>
      <w:pPr>
        <w:spacing w:line="360" w:lineRule="auto"/>
        <w:jc w:val="center"/>
      </w:pPr>
      <w:r>
        <w:rPr>
          <w:rFonts w:ascii="Times New Roman" w:hAnsi="Times New Roman" w:eastAsia="宋体"/>
          <w:sz w:val="24"/>
        </w:rPr>
        <w:t>Dᵢ⁻=[Σⱼ₌₁ᵐ(vᵢⱼ−vⱼ⁻)²]¹ᐟ²</w:t>
      </w:r>
    </w:p>
    <w:p>
      <w:pPr>
        <w:spacing w:line="360" w:lineRule="auto"/>
        <w:ind w:firstLine="480"/>
      </w:pPr>
      <w:r>
        <w:rPr>
          <w:rFonts w:ascii="宋体" w:hAnsi="宋体" w:eastAsia="宋体"/>
          <w:sz w:val="24"/>
        </w:rPr>
        <w:t>最后，计算候选站点的综合贴近度：</w:t>
      </w:r>
    </w:p>
    <w:p>
      <w:pPr>
        <w:spacing w:line="360" w:lineRule="auto"/>
        <w:jc w:val="center"/>
      </w:pPr>
      <w:r>
        <w:rPr>
          <w:rFonts w:ascii="Times New Roman" w:hAnsi="Times New Roman" w:eastAsia="宋体"/>
          <w:sz w:val="24"/>
        </w:rPr>
        <w:t>Sᵢ=Dᵢ⁻/(Dᵢ⁺+Dᵢ⁻)</w:t>
      </w:r>
    </w:p>
    <w:p>
      <w:pPr>
        <w:spacing w:line="360" w:lineRule="auto"/>
        <w:ind w:firstLine="480"/>
      </w:pPr>
      <w:r>
        <w:rPr>
          <w:rFonts w:ascii="宋体" w:hAnsi="宋体" w:eastAsia="宋体"/>
          <w:sz w:val="24"/>
        </w:rPr>
        <w:t>式中，Sᵢ 表示候选站点 aᵢ 的综合贴近度。Sᵢ 的取值范围为 [0,1]，其值越大，说明该站点越接近正理想解、远离负理想解，综合评价结果越优。</w:t>
      </w:r>
    </w:p>
    <w:p>
      <w:pPr>
        <w:spacing w:line="360" w:lineRule="auto"/>
        <w:ind w:firstLine="480"/>
      </w:pPr>
      <w:r>
        <w:rPr>
          <w:rFonts w:ascii="宋体" w:hAnsi="宋体" w:eastAsia="宋体"/>
          <w:sz w:val="24"/>
        </w:rPr>
        <w:t>根据综合贴近度 Sᵢ 的大小，可对候选站点进行排序。排序结果可用于识别具备较高网络结构优势和需求潜力基础的备选地铁物流配送转运点。需要说明的是，本章综合评价结果主要用于候选站点识别和站点适宜性判断，并不直接等同于最终转运点布局方案。最终布局仍需在后续章节中进一步结合建设数量、服务覆盖、运营成本、站点容量和需求分配等因素进行优化。</w:t>
      </w:r>
    </w:p>
    <w:p>
      <w:pPr>
        <w:pStyle w:val="Heading2"/>
      </w:pPr>
      <w:r>
        <w:rPr>
          <w:rFonts w:ascii="宋体" w:hAnsi="宋体" w:eastAsia="宋体"/>
        </w:rPr>
        <w:t>3.5 本章小结</w:t>
      </w:r>
    </w:p>
    <w:p>
      <w:pPr>
        <w:spacing w:line="360" w:lineRule="auto"/>
        <w:ind w:firstLine="480"/>
      </w:pPr>
      <w:r>
        <w:rPr>
          <w:rFonts w:ascii="宋体" w:hAnsi="宋体" w:eastAsia="宋体"/>
          <w:sz w:val="24"/>
        </w:rPr>
        <w:t>本章围绕地铁物流配送转运点识别问题，构建了基于网络结构与需求潜力协同的综合评价方法。首先，阐述了地铁物流配送转运点评价需要同时考虑地铁网络供给能力和站域需求潜力的原因，并提出“网络结构—需求潜力”协同评价框架。其次，基于复杂网络理论构建地铁网络模型，选取度中心性、介数中心性、接近中心性和特征向量中心性刻画站点在网络结构中的功能地位。再次，从站点周边末端物流需求基础出发，构建人口密度、住宅数量、城市零售集群数量和功能结构混合度等需求潜力指标，并给出了基于缓冲区的数据清洗规则和指标计算方法。最后，采用改进 CRITIC 方法确定指标客观权重，并结合 TOPSIS 方法计算候选站点综合贴近度，形成地铁物流配送转运点重要度综合评价模型。</w:t>
      </w:r>
    </w:p>
    <w:p>
      <w:pPr>
        <w:spacing w:line="360" w:lineRule="auto"/>
        <w:ind w:firstLine="480"/>
      </w:pPr>
      <w:r>
        <w:rPr>
          <w:rFonts w:ascii="宋体" w:hAnsi="宋体" w:eastAsia="宋体"/>
          <w:sz w:val="24"/>
        </w:rPr>
        <w:t>本章所构建的综合评价方法能够从网络结构和需求潜力两个方面识别具备较高物流转运适宜性的地铁站点，为后续转运点布局优化模型提供候选集合和评价依据。下一章将在本章评价结果基础上，进一步构建地铁物流配送转运点选址—分配优化模型，并设计相应算法对布局方案进行求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