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宋体" w:hAnsi="宋体" w:eastAsia="宋体"/>
          <w:sz w:val="24"/>
        </w:rPr>
        <w:t>4.4 QVNS-NSGA-II 算法设计</w:t>
      </w:r>
    </w:p>
    <w:p>
      <w:pPr>
        <w:pStyle w:val="Heading2"/>
        <w:spacing w:line="360" w:lineRule="auto"/>
      </w:pPr>
      <w:r>
        <w:rPr>
          <w:rFonts w:ascii="宋体" w:hAnsi="宋体" w:eastAsia="宋体"/>
          <w:sz w:val="24"/>
        </w:rPr>
        <w:t>章节展开分析</w:t>
      </w:r>
    </w:p>
    <w:p>
      <w:pPr>
        <w:spacing w:line="360" w:lineRule="auto"/>
        <w:ind w:firstLine="420"/>
      </w:pPr>
      <w:r>
        <w:rPr>
          <w:rFonts w:ascii="宋体" w:hAnsi="宋体" w:eastAsia="宋体"/>
          <w:sz w:val="24"/>
        </w:rPr>
        <w:t>“4.4 QVNS-NSGA-II 算法设计”应承担从模型构建到算例求解之间的承接作用。前文已经给出地铁物流中转站布局优化模型及其目标函数、约束条件，本节需要回答“为什么采用 QVNS-NSGA-II、算法如何与模型变量对应、改进机制如何发挥作用、最终如何输出可用于结果分析的解集”等问题。因此，本节不宜仅介绍通用 NSGA-II 或 Q-learning 原理，而应围绕“NSGA-II 主框架 + VNS 局部搜索增强 + Q-learning 自适应邻域选择 + 外部档案与 safeguard 回滚”的组合逻辑展开。</w:t>
      </w:r>
    </w:p>
    <w:p>
      <w:pPr>
        <w:spacing w:line="360" w:lineRule="auto"/>
        <w:ind w:firstLine="420"/>
      </w:pPr>
      <w:r>
        <w:rPr>
          <w:rFonts w:ascii="宋体" w:hAnsi="宋体" w:eastAsia="宋体"/>
          <w:sz w:val="24"/>
        </w:rPr>
        <w:t>4.4.1 应介绍 NSGA-II 的基本思想，并结合本文双目标形式说明目标向量为 F(x)=[Z1(x),-Z2(x)]，其中 Z1 为综合运营成本，Z2 为地铁服务需求占比。该小节需要说明非支配排序、拥挤距离、锦标赛选择、交叉变异和精英保留机制，并指出代码中采用约束支配规则处理复杂约束。</w:t>
      </w:r>
    </w:p>
    <w:p>
      <w:pPr>
        <w:spacing w:line="360" w:lineRule="auto"/>
        <w:ind w:firstLine="420"/>
      </w:pPr>
      <w:r>
        <w:rPr>
          <w:rFonts w:ascii="宋体" w:hAnsi="宋体" w:eastAsia="宋体"/>
          <w:sz w:val="24"/>
        </w:rPr>
        <w:t>4.4.2 应说明变量邻域搜索机制的必要性。地铁物流中转站布局问题同时包含站点启用、货物流向分配和线路容量约束，单纯依靠遗传变异容易出现局部精修不足。因此需要设置与问题结构对应的邻域动作，包括开设服务潜力站点、关闭低负载高成本站点、站点交换、货物流重分配和服务覆盖强化。该小节适合配置“VNS 邻域结构表”。</w:t>
      </w:r>
    </w:p>
    <w:p>
      <w:pPr>
        <w:spacing w:line="360" w:lineRule="auto"/>
        <w:ind w:firstLine="420"/>
      </w:pPr>
      <w:r>
        <w:rPr>
          <w:rFonts w:ascii="宋体" w:hAnsi="宋体" w:eastAsia="宋体"/>
          <w:sz w:val="24"/>
        </w:rPr>
        <w:t>4.4.3 应说明 Q-learning 如何驱动邻域动作或变异策略选择。重点包括状态设计、动作集合、ε-greedy 策略、奖励函数和 Q 值更新公式。状态应由迭代进度、可行解比例和非支配解比例构成；动作应对应不同搜索偏好；奖励应基于外部档案改进情况，而不是仅基于单个个体收益。</w:t>
      </w:r>
    </w:p>
    <w:p>
      <w:pPr>
        <w:spacing w:line="360" w:lineRule="auto"/>
        <w:ind w:firstLine="420"/>
      </w:pPr>
      <w:r>
        <w:rPr>
          <w:rFonts w:ascii="宋体" w:hAnsi="宋体" w:eastAsia="宋体"/>
          <w:sz w:val="24"/>
        </w:rPr>
        <w:t>4.4.4 应介绍外部档案和 safeguard 回滚机制。外部档案用于保存约束非支配解，防止优良解在遗传迭代中丢失；safeguard 用于在 Q-learning 动作造成明显退化时回滚种群和档案。该小节适合配置“外部档案与 safeguard 机制图”的文字说明或模块关系图。</w:t>
      </w:r>
    </w:p>
    <w:p>
      <w:pPr>
        <w:spacing w:line="360" w:lineRule="auto"/>
        <w:ind w:firstLine="420"/>
      </w:pPr>
      <w:r>
        <w:rPr>
          <w:rFonts w:ascii="宋体" w:hAnsi="宋体" w:eastAsia="宋体"/>
          <w:sz w:val="24"/>
        </w:rPr>
        <w:t>4.4.5 应给出 QVNS-NSGA-II 的总体算法框架，包括输入、输出、初始化、主循环、Q-learning 动作选择、NSGA-II 进化、VNS 触发、档案更新、Q 值更新和终止输出。该小节需要提供伪代码。</w:t>
      </w:r>
    </w:p>
    <w:p>
      <w:pPr>
        <w:spacing w:line="360" w:lineRule="auto"/>
        <w:ind w:firstLine="420"/>
      </w:pPr>
      <w:r>
        <w:rPr>
          <w:rFonts w:ascii="宋体" w:hAnsi="宋体" w:eastAsia="宋体"/>
          <w:sz w:val="24"/>
        </w:rPr>
        <w:t>4.4.6 应给出算法流程与复杂度分析。流程图应采用矩形表示处理步骤、菱形表示判断条件、虚线框表示 Q-learning 与 VNS 增强模块、数据库图形表示外部档案，并明确最终输出包括 Pareto 前沿、收敛曲线、Q 表、VNS 历史和折中方案。复杂度分析应以种群规模 N、最大迭代次数 G、目标数 M、染色体长度 L、档案规模 A、VNS 精英数 E、邻域数 Kv、每邻域尝试次数 Tv 为符号展开。</w:t>
      </w:r>
    </w:p>
    <w:p>
      <w:r>
        <w:br w:type="page"/>
      </w:r>
    </w:p>
    <w:p>
      <w:pPr>
        <w:pStyle w:val="Heading1"/>
        <w:spacing w:line="360" w:lineRule="auto"/>
      </w:pPr>
      <w:r>
        <w:rPr>
          <w:rFonts w:ascii="宋体" w:hAnsi="宋体" w:eastAsia="宋体"/>
          <w:sz w:val="24"/>
        </w:rPr>
        <w:t>4.4 QVNS-NSGA-II 算法设计</w:t>
      </w:r>
    </w:p>
    <w:p>
      <w:pPr>
        <w:spacing w:line="360" w:lineRule="auto"/>
        <w:ind w:firstLine="420"/>
      </w:pPr>
      <w:r>
        <w:rPr>
          <w:rFonts w:ascii="宋体" w:hAnsi="宋体" w:eastAsia="宋体"/>
          <w:sz w:val="24"/>
        </w:rPr>
        <w:t>地铁物流中转站布局优化问题具有明显的组合优化特征。一方面，候选地铁站点是否启用属于离散选址决策；另一方面，物流源至需求点的货物流向需要在直接公路运输与“公路接驳-地铁干线-末端接驳”联合运输之间进行选择，并进一步确定所依托的地铁物流中转站。与此同时，模型还受到站点服务范围、站点容量、线路容量、换乘次数、站点间距和线路开设集中度等多类约束影响。该类问题的可行域呈现非连续、非凸和强约束特征，若采用精确算法直接求解，在候选站点和需求点规模增加时容易面临计算复杂度迅速上升的问题。</w:t>
      </w:r>
    </w:p>
    <w:p>
      <w:pPr>
        <w:spacing w:line="360" w:lineRule="auto"/>
        <w:ind w:firstLine="420"/>
      </w:pPr>
      <w:r>
        <w:rPr>
          <w:rFonts w:ascii="宋体" w:hAnsi="宋体" w:eastAsia="宋体"/>
          <w:sz w:val="24"/>
        </w:rPr>
        <w:t>基于上述特点，本文在 NSGA-II 多目标进化框架的基础上，引入变量邻域搜索机制和 Q-learning 自适应动作选择机制，构建 QVNS-NSGA-II 算法对模型进行求解。该算法以 NSGA-II 作为全局搜索主框架，以 VNS 对外部档案中的优良解进行局部强化，并利用 Q-learning 根据当前种群状态动态选择搜索动作；同时设置外部档案与 safeguard 回滚机制，以提高 Pareto 解集的稳定性并降低自适应动作误选带来的退化风险。算法总体逻辑体现为“全局进化搜索、局部邻域强化、自适应动作学习、档案保留与退化回滚”的协同求解过程。</w:t>
      </w:r>
    </w:p>
    <w:p>
      <w:pPr>
        <w:pStyle w:val="Heading2"/>
        <w:spacing w:line="360" w:lineRule="auto"/>
      </w:pPr>
      <w:r>
        <w:rPr>
          <w:rFonts w:ascii="宋体" w:hAnsi="宋体" w:eastAsia="宋体"/>
          <w:sz w:val="24"/>
        </w:rPr>
        <w:t>4.4.1 NSGA-II 算法基本原理</w:t>
      </w:r>
    </w:p>
    <w:p>
      <w:pPr>
        <w:spacing w:line="360" w:lineRule="auto"/>
        <w:ind w:firstLine="420"/>
      </w:pPr>
      <w:r>
        <w:rPr>
          <w:rFonts w:ascii="宋体" w:hAnsi="宋体" w:eastAsia="宋体"/>
          <w:sz w:val="24"/>
        </w:rPr>
        <w:t>NSGA-II 是一种典型的多目标进化算法，其核心思想是在遗传算法的选择、交叉和变异框架中引入快速非支配排序、拥挤距离和精英保留机制，从而在逼近 Pareto 最优前沿的同时维持解集分布的多样性。对于本文建立的地铁物流中转站布局优化模型，算法需要同时考虑综合运营成本最小化和地铁服务需求占比最大化两个优化方向。为统一采用最小化形式，本文将个体 x 的目标向量定义为</w:t>
      </w:r>
    </w:p>
    <w:p>
      <w:pPr>
        <w:spacing w:line="360" w:lineRule="auto"/>
        <w:jc w:val="center"/>
      </w:pPr>
      <w:r>
        <w:rPr>
          <w:rFonts w:ascii="宋体" w:hAnsi="宋体" w:eastAsia="宋体"/>
          <w:sz w:val="24"/>
        </w:rPr>
        <w:t>F(x)=[f_1(x),f_2(x)]=[Z_1(x),-Z_2(x)]</w:t>
      </w:r>
    </w:p>
    <w:p>
      <w:pPr>
        <w:spacing w:line="360" w:lineRule="auto"/>
        <w:ind w:firstLine="420"/>
      </w:pPr>
      <w:r>
        <w:rPr>
          <w:rFonts w:ascii="宋体" w:hAnsi="宋体" w:eastAsia="宋体"/>
          <w:sz w:val="24"/>
        </w:rPr>
        <w:t>式中，Z1(x) 表示综合运营成本，主要包括站点固定成本、公路运输成本、地铁运输成本、接驳成本、换乘成本、进出站成本、列车组织成本以及相关碳成本；Z2(x) 表示地铁服务需求占比，即通过地铁联合运输方式服务的需求量占总需求量的比例。由于 f2(x)=-Z2(x)，最小化 f2(x) 等价于最大化地铁服务需求占比。</w:t>
      </w:r>
    </w:p>
    <w:p>
      <w:pPr>
        <w:spacing w:line="360" w:lineRule="auto"/>
        <w:ind w:firstLine="420"/>
      </w:pPr>
      <w:r>
        <w:rPr>
          <w:rFonts w:ascii="宋体" w:hAnsi="宋体" w:eastAsia="宋体"/>
          <w:sz w:val="24"/>
        </w:rPr>
        <w:t>设 xa 和 xb 为两个可行解，若二者满足</w:t>
      </w:r>
    </w:p>
    <w:p>
      <w:pPr>
        <w:spacing w:line="360" w:lineRule="auto"/>
        <w:jc w:val="center"/>
      </w:pPr>
      <w:r>
        <w:rPr>
          <w:rFonts w:ascii="宋体" w:hAnsi="宋体" w:eastAsia="宋体"/>
          <w:sz w:val="24"/>
        </w:rPr>
        <w:t>∀m∈{1,2}, f_m(x_a)≤f_m(x_b), 且 ∃m∈{1,2}, f_m(x_a)&lt;f_m(x_b)</w:t>
      </w:r>
    </w:p>
    <w:p>
      <w:pPr>
        <w:spacing w:line="360" w:lineRule="auto"/>
        <w:ind w:firstLine="420"/>
      </w:pPr>
      <w:r>
        <w:rPr>
          <w:rFonts w:ascii="宋体" w:hAnsi="宋体" w:eastAsia="宋体"/>
          <w:sz w:val="24"/>
        </w:rPr>
        <w:t>则称 xa Pareto 支配 xb。在复杂约束条件下，本文进一步采用约束支配规则处理可行性问题。设 CV(x) 为个体 x 的总约束违反程度，当 CV(x)=0 时表示该个体为可行解。当两个个体进行比较时，若一个个体可行而另一个不可行，则优先选择可行个体；若两个个体均不可行，则选择约束违反程度较小的个体；若两个个体均可行，则根据 Pareto 支配关系进行比较。该规则避免了对多类约束设置人工惩罚权重的问题，更适合本文含有站点容量、线路容量、服务距离和换乘次数等多类型约束的选址模型。</w:t>
      </w:r>
    </w:p>
    <w:p>
      <w:pPr>
        <w:spacing w:line="360" w:lineRule="auto"/>
        <w:ind w:firstLine="420"/>
      </w:pPr>
      <w:r>
        <w:rPr>
          <w:rFonts w:ascii="宋体" w:hAnsi="宋体" w:eastAsia="宋体"/>
          <w:sz w:val="24"/>
        </w:rPr>
        <w:t>在非支配排序基础上，NSGA-II 通过拥挤距离衡量同一非支配层内个体的分布稀疏程度。对于某一非支配层 Fr，个体 i 在目标 m 上的拥挤距离贡献可表示为</w:t>
      </w:r>
    </w:p>
    <w:p>
      <w:pPr>
        <w:spacing w:line="360" w:lineRule="auto"/>
        <w:jc w:val="center"/>
      </w:pPr>
      <w:r>
        <w:rPr>
          <w:rFonts w:ascii="宋体" w:hAnsi="宋体" w:eastAsia="宋体"/>
          <w:sz w:val="24"/>
        </w:rPr>
        <w:t>d_{i,m}=(f_m(i+1)-f_m(i-1))/(f_m^max-f_m^min)</w:t>
      </w:r>
    </w:p>
    <w:p>
      <w:pPr>
        <w:spacing w:line="360" w:lineRule="auto"/>
        <w:ind w:firstLine="420"/>
      </w:pPr>
      <w:r>
        <w:rPr>
          <w:rFonts w:ascii="宋体" w:hAnsi="宋体" w:eastAsia="宋体"/>
          <w:sz w:val="24"/>
        </w:rPr>
        <w:t>个体总拥挤距离为各目标维度上的距离之和。拥挤距离越大，表示该个体位于目标空间中相对稀疏区域，应优先保留，以避免 Pareto 解集过度集中在局部区域。本文在锦标赛选择中优先选择非支配等级较低的个体；当非支配等级相同时，优先选择拥挤距离较大的个体。</w:t>
      </w:r>
    </w:p>
    <w:p>
      <w:pPr>
        <w:spacing w:line="360" w:lineRule="auto"/>
        <w:ind w:firstLine="420"/>
      </w:pPr>
      <w:r>
        <w:rPr>
          <w:rFonts w:ascii="宋体" w:hAnsi="宋体" w:eastAsia="宋体"/>
          <w:sz w:val="24"/>
        </w:rPr>
        <w:t>本文算法的染色体由两部分组成。第一部分为候选地铁物流中转站启用变量，记为 yk，当第 k 个候选站点启用时 yk=1，否则 yk=0。第二部分为货物流向分配变量，用于表示物流源 i 至需求点 j 的运输方式及中转站选择。若编码值为 0，表示该需求采用直接公路运输；若编码值为 k+1，表示该需求经第 k 个启用地铁物流中转站完成联合运输。该编码方式能够同时表达“选址”和“分配”两类决策，适合在进化算法中进行交叉、变异和修复。</w:t>
      </w:r>
    </w:p>
    <w:p>
      <w:pPr>
        <w:spacing w:line="360" w:lineRule="auto"/>
        <w:ind w:firstLine="420"/>
      </w:pPr>
      <w:r>
        <w:rPr>
          <w:rFonts w:ascii="宋体" w:hAnsi="宋体" w:eastAsia="宋体"/>
          <w:sz w:val="24"/>
        </w:rPr>
        <w:t>标准 NSGA-II 在本文中的基本流程为：首先生成初始种群并进行约束修复；其次计算每个个体的目标值和约束违反程度；然后执行非支配排序和拥挤距离计算；在此基础上通过锦标赛选择、交叉和变异生成子代；最后合并父代与子代，并依据非支配等级和拥挤距离选择下一代种群。该过程为 QVNS-NSGA-II 提供了稳定的全局搜索框架。</w:t>
      </w:r>
    </w:p>
    <w:p>
      <w:pPr>
        <w:pStyle w:val="Heading2"/>
        <w:spacing w:line="360" w:lineRule="auto"/>
      </w:pPr>
      <w:r>
        <w:rPr>
          <w:rFonts w:ascii="宋体" w:hAnsi="宋体" w:eastAsia="宋体"/>
          <w:sz w:val="24"/>
        </w:rPr>
        <w:t>4.4.2 变量邻域搜索机制设计</w:t>
      </w:r>
    </w:p>
    <w:p>
      <w:pPr>
        <w:spacing w:line="360" w:lineRule="auto"/>
        <w:ind w:firstLine="420"/>
      </w:pPr>
      <w:r>
        <w:rPr>
          <w:rFonts w:ascii="宋体" w:hAnsi="宋体" w:eastAsia="宋体"/>
          <w:sz w:val="24"/>
        </w:rPr>
        <w:t>标准 NSGA-II 具有较强的全局搜索能力，但在地铁物流中转站布局问题中，仅依靠随机变异往往难以充分利用问题结构。例如，某一候选站点的启用可能显著提高周边需求点的地铁服务比例，但也可能增加固定成本和线路负载；某一低负载站点关闭后可以降低成本，但可能导致部分需求转为公路直送或违反服务范围约束。因此，本文引入变量邻域搜索机制，对外部档案中的优良解进行局部强化。</w:t>
      </w:r>
    </w:p>
    <w:p>
      <w:pPr>
        <w:spacing w:line="360" w:lineRule="auto"/>
        <w:ind w:firstLine="420"/>
      </w:pPr>
      <w:r>
        <w:rPr>
          <w:rFonts w:ascii="宋体" w:hAnsi="宋体" w:eastAsia="宋体"/>
          <w:sz w:val="24"/>
        </w:rPr>
        <w:t>变量邻域搜索的基本思想是围绕当前解构造多个具有不同搜索尺度和搜索方向的邻域结构，并在不同邻域之间进行切换，以降低搜索陷入局部最优的概率。结合地铁物流中转站布局问题的决策结构，本文将 VNS 邻域设计为站点启用调整、站点替换调整和货物流向分配调整三类，并进一步细化为五个邻域动作，如表 4-4 所示。</w:t>
      </w:r>
    </w:p>
    <w:p>
      <w:pPr>
        <w:spacing w:line="360" w:lineRule="auto"/>
        <w:jc w:val="center"/>
      </w:pPr>
      <w:r>
        <w:rPr>
          <w:rFonts w:ascii="宋体" w:hAnsi="宋体" w:eastAsia="宋体"/>
          <w:sz w:val="24"/>
        </w:rPr>
        <w:t>表 4-4 VNS 邻域结构设计</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AF7"/>
          </w:tcPr>
          <w:p>
            <w:r/>
            <w:r>
              <w:rPr>
                <w:rFonts w:ascii="宋体" w:hAnsi="宋体" w:eastAsia="宋体"/>
                <w:b/>
                <w:sz w:val="21"/>
              </w:rPr>
              <w:t>邻域编号</w:t>
            </w:r>
          </w:p>
        </w:tc>
        <w:tc>
          <w:tcPr>
            <w:tcW w:type="dxa" w:w="1729"/>
            <w:shd w:fill="D9EAF7"/>
          </w:tcPr>
          <w:p>
            <w:r/>
            <w:r>
              <w:rPr>
                <w:rFonts w:ascii="宋体" w:hAnsi="宋体" w:eastAsia="宋体"/>
                <w:b/>
                <w:sz w:val="21"/>
              </w:rPr>
              <w:t>邻域名称</w:t>
            </w:r>
          </w:p>
        </w:tc>
        <w:tc>
          <w:tcPr>
            <w:tcW w:type="dxa" w:w="1729"/>
            <w:shd w:fill="D9EAF7"/>
          </w:tcPr>
          <w:p>
            <w:r/>
            <w:r>
              <w:rPr>
                <w:rFonts w:ascii="宋体" w:hAnsi="宋体" w:eastAsia="宋体"/>
                <w:b/>
                <w:sz w:val="21"/>
              </w:rPr>
              <w:t>操作对象</w:t>
            </w:r>
          </w:p>
        </w:tc>
        <w:tc>
          <w:tcPr>
            <w:tcW w:type="dxa" w:w="1729"/>
            <w:shd w:fill="D9EAF7"/>
          </w:tcPr>
          <w:p>
            <w:r/>
            <w:r>
              <w:rPr>
                <w:rFonts w:ascii="宋体" w:hAnsi="宋体" w:eastAsia="宋体"/>
                <w:b/>
                <w:sz w:val="21"/>
              </w:rPr>
              <w:t>设计思路</w:t>
            </w:r>
          </w:p>
        </w:tc>
        <w:tc>
          <w:tcPr>
            <w:tcW w:type="dxa" w:w="1729"/>
            <w:shd w:fill="D9EAF7"/>
          </w:tcPr>
          <w:p>
            <w:r/>
            <w:r>
              <w:rPr>
                <w:rFonts w:ascii="宋体" w:hAnsi="宋体" w:eastAsia="宋体"/>
                <w:b/>
                <w:sz w:val="21"/>
              </w:rPr>
              <w:t>主要作用</w:t>
            </w:r>
          </w:p>
        </w:tc>
      </w:tr>
      <w:tr>
        <w:tc>
          <w:tcPr>
            <w:tcW w:type="dxa" w:w="1729"/>
            <w:vAlign w:val="center"/>
          </w:tcPr>
          <w:p>
            <w:r/>
            <w:r>
              <w:rPr>
                <w:rFonts w:ascii="宋体" w:hAnsi="宋体" w:eastAsia="宋体"/>
                <w:b w:val="0"/>
                <w:sz w:val="21"/>
              </w:rPr>
              <w:t>N1</w:t>
            </w:r>
          </w:p>
        </w:tc>
        <w:tc>
          <w:tcPr>
            <w:tcW w:type="dxa" w:w="1729"/>
            <w:vAlign w:val="center"/>
          </w:tcPr>
          <w:p>
            <w:r/>
            <w:r>
              <w:rPr>
                <w:rFonts w:ascii="宋体" w:hAnsi="宋体" w:eastAsia="宋体"/>
                <w:b w:val="0"/>
                <w:sz w:val="21"/>
              </w:rPr>
              <w:t>开设高服务潜力站点</w:t>
            </w:r>
          </w:p>
        </w:tc>
        <w:tc>
          <w:tcPr>
            <w:tcW w:type="dxa" w:w="1729"/>
            <w:vAlign w:val="center"/>
          </w:tcPr>
          <w:p>
            <w:r/>
            <w:r>
              <w:rPr>
                <w:rFonts w:ascii="宋体" w:hAnsi="宋体" w:eastAsia="宋体"/>
                <w:b w:val="0"/>
                <w:sz w:val="21"/>
              </w:rPr>
              <w:t>站点启用变量</w:t>
            </w:r>
          </w:p>
        </w:tc>
        <w:tc>
          <w:tcPr>
            <w:tcW w:type="dxa" w:w="1729"/>
            <w:vAlign w:val="center"/>
          </w:tcPr>
          <w:p>
            <w:r/>
            <w:r>
              <w:rPr>
                <w:rFonts w:ascii="宋体" w:hAnsi="宋体" w:eastAsia="宋体"/>
                <w:b w:val="0"/>
                <w:sz w:val="21"/>
              </w:rPr>
              <w:t>在满足站点间距、线路集中度和固定成本约束的前提下，优先启用服务潜力较高的候选站点</w:t>
            </w:r>
          </w:p>
        </w:tc>
        <w:tc>
          <w:tcPr>
            <w:tcW w:type="dxa" w:w="1729"/>
            <w:vAlign w:val="center"/>
          </w:tcPr>
          <w:p>
            <w:r/>
            <w:r>
              <w:rPr>
                <w:rFonts w:ascii="宋体" w:hAnsi="宋体" w:eastAsia="宋体"/>
                <w:b w:val="0"/>
                <w:sz w:val="21"/>
              </w:rPr>
              <w:t>提高地铁可服务需求量，改善服务占比</w:t>
            </w:r>
          </w:p>
        </w:tc>
      </w:tr>
      <w:tr>
        <w:tc>
          <w:tcPr>
            <w:tcW w:type="dxa" w:w="1729"/>
            <w:vAlign w:val="center"/>
          </w:tcPr>
          <w:p>
            <w:r/>
            <w:r>
              <w:rPr>
                <w:rFonts w:ascii="宋体" w:hAnsi="宋体" w:eastAsia="宋体"/>
                <w:b w:val="0"/>
                <w:sz w:val="21"/>
              </w:rPr>
              <w:t>N2</w:t>
            </w:r>
          </w:p>
        </w:tc>
        <w:tc>
          <w:tcPr>
            <w:tcW w:type="dxa" w:w="1729"/>
            <w:vAlign w:val="center"/>
          </w:tcPr>
          <w:p>
            <w:r/>
            <w:r>
              <w:rPr>
                <w:rFonts w:ascii="宋体" w:hAnsi="宋体" w:eastAsia="宋体"/>
                <w:b w:val="0"/>
                <w:sz w:val="21"/>
              </w:rPr>
              <w:t>关闭低负载高成本站点</w:t>
            </w:r>
          </w:p>
        </w:tc>
        <w:tc>
          <w:tcPr>
            <w:tcW w:type="dxa" w:w="1729"/>
            <w:vAlign w:val="center"/>
          </w:tcPr>
          <w:p>
            <w:r/>
            <w:r>
              <w:rPr>
                <w:rFonts w:ascii="宋体" w:hAnsi="宋体" w:eastAsia="宋体"/>
                <w:b w:val="0"/>
                <w:sz w:val="21"/>
              </w:rPr>
              <w:t>站点启用变量</w:t>
            </w:r>
          </w:p>
        </w:tc>
        <w:tc>
          <w:tcPr>
            <w:tcW w:type="dxa" w:w="1729"/>
            <w:vAlign w:val="center"/>
          </w:tcPr>
          <w:p>
            <w:r/>
            <w:r>
              <w:rPr>
                <w:rFonts w:ascii="宋体" w:hAnsi="宋体" w:eastAsia="宋体"/>
                <w:b w:val="0"/>
                <w:sz w:val="21"/>
              </w:rPr>
              <w:t>对已启用站点计算固定成本与使用次数的相对关系，优先关闭成本高且服务量低的站点</w:t>
            </w:r>
          </w:p>
        </w:tc>
        <w:tc>
          <w:tcPr>
            <w:tcW w:type="dxa" w:w="1729"/>
            <w:vAlign w:val="center"/>
          </w:tcPr>
          <w:p>
            <w:r/>
            <w:r>
              <w:rPr>
                <w:rFonts w:ascii="宋体" w:hAnsi="宋体" w:eastAsia="宋体"/>
                <w:b w:val="0"/>
                <w:sz w:val="21"/>
              </w:rPr>
              <w:t>降低固定成本和无效启用</w:t>
            </w:r>
          </w:p>
        </w:tc>
      </w:tr>
      <w:tr>
        <w:tc>
          <w:tcPr>
            <w:tcW w:type="dxa" w:w="1729"/>
            <w:vAlign w:val="center"/>
          </w:tcPr>
          <w:p>
            <w:r/>
            <w:r>
              <w:rPr>
                <w:rFonts w:ascii="宋体" w:hAnsi="宋体" w:eastAsia="宋体"/>
                <w:b w:val="0"/>
                <w:sz w:val="21"/>
              </w:rPr>
              <w:t>N3</w:t>
            </w:r>
          </w:p>
        </w:tc>
        <w:tc>
          <w:tcPr>
            <w:tcW w:type="dxa" w:w="1729"/>
            <w:vAlign w:val="center"/>
          </w:tcPr>
          <w:p>
            <w:r/>
            <w:r>
              <w:rPr>
                <w:rFonts w:ascii="宋体" w:hAnsi="宋体" w:eastAsia="宋体"/>
                <w:b w:val="0"/>
                <w:sz w:val="21"/>
              </w:rPr>
              <w:t>站点交换</w:t>
            </w:r>
          </w:p>
        </w:tc>
        <w:tc>
          <w:tcPr>
            <w:tcW w:type="dxa" w:w="1729"/>
            <w:vAlign w:val="center"/>
          </w:tcPr>
          <w:p>
            <w:r/>
            <w:r>
              <w:rPr>
                <w:rFonts w:ascii="宋体" w:hAnsi="宋体" w:eastAsia="宋体"/>
                <w:b w:val="0"/>
                <w:sz w:val="21"/>
              </w:rPr>
              <w:t>站点启用变量</w:t>
            </w:r>
          </w:p>
        </w:tc>
        <w:tc>
          <w:tcPr>
            <w:tcW w:type="dxa" w:w="1729"/>
            <w:vAlign w:val="center"/>
          </w:tcPr>
          <w:p>
            <w:r/>
            <w:r>
              <w:rPr>
                <w:rFonts w:ascii="宋体" w:hAnsi="宋体" w:eastAsia="宋体"/>
                <w:b w:val="0"/>
                <w:sz w:val="21"/>
              </w:rPr>
              <w:t>删除服务潜力较低的已启用站点，并尝试加入服务潜力较高的关闭站点</w:t>
            </w:r>
          </w:p>
        </w:tc>
        <w:tc>
          <w:tcPr>
            <w:tcW w:type="dxa" w:w="1729"/>
            <w:vAlign w:val="center"/>
          </w:tcPr>
          <w:p>
            <w:r/>
            <w:r>
              <w:rPr>
                <w:rFonts w:ascii="宋体" w:hAnsi="宋体" w:eastAsia="宋体"/>
                <w:b w:val="0"/>
                <w:sz w:val="21"/>
              </w:rPr>
              <w:t>在成本与服务之间重新平衡</w:t>
            </w:r>
          </w:p>
        </w:tc>
      </w:tr>
      <w:tr>
        <w:tc>
          <w:tcPr>
            <w:tcW w:type="dxa" w:w="1729"/>
            <w:vAlign w:val="center"/>
          </w:tcPr>
          <w:p>
            <w:r/>
            <w:r>
              <w:rPr>
                <w:rFonts w:ascii="宋体" w:hAnsi="宋体" w:eastAsia="宋体"/>
                <w:b w:val="0"/>
                <w:sz w:val="21"/>
              </w:rPr>
              <w:t>N4</w:t>
            </w:r>
          </w:p>
        </w:tc>
        <w:tc>
          <w:tcPr>
            <w:tcW w:type="dxa" w:w="1729"/>
            <w:vAlign w:val="center"/>
          </w:tcPr>
          <w:p>
            <w:r/>
            <w:r>
              <w:rPr>
                <w:rFonts w:ascii="宋体" w:hAnsi="宋体" w:eastAsia="宋体"/>
                <w:b w:val="0"/>
                <w:sz w:val="21"/>
              </w:rPr>
              <w:t>货物流重分配</w:t>
            </w:r>
          </w:p>
        </w:tc>
        <w:tc>
          <w:tcPr>
            <w:tcW w:type="dxa" w:w="1729"/>
            <w:vAlign w:val="center"/>
          </w:tcPr>
          <w:p>
            <w:r/>
            <w:r>
              <w:rPr>
                <w:rFonts w:ascii="宋体" w:hAnsi="宋体" w:eastAsia="宋体"/>
                <w:b w:val="0"/>
                <w:sz w:val="21"/>
              </w:rPr>
              <w:t>分配变量</w:t>
            </w:r>
          </w:p>
        </w:tc>
        <w:tc>
          <w:tcPr>
            <w:tcW w:type="dxa" w:w="1729"/>
            <w:vAlign w:val="center"/>
          </w:tcPr>
          <w:p>
            <w:r/>
            <w:r>
              <w:rPr>
                <w:rFonts w:ascii="宋体" w:hAnsi="宋体" w:eastAsia="宋体"/>
                <w:b w:val="0"/>
                <w:sz w:val="21"/>
              </w:rPr>
              <w:t>对物流源至需求点的运输方式重新匹配，尽量将可行的直接公路运输转为地铁联合运输</w:t>
            </w:r>
          </w:p>
        </w:tc>
        <w:tc>
          <w:tcPr>
            <w:tcW w:type="dxa" w:w="1729"/>
            <w:vAlign w:val="center"/>
          </w:tcPr>
          <w:p>
            <w:r/>
            <w:r>
              <w:rPr>
                <w:rFonts w:ascii="宋体" w:hAnsi="宋体" w:eastAsia="宋体"/>
                <w:b w:val="0"/>
                <w:sz w:val="21"/>
              </w:rPr>
              <w:t>改善运输结构和地铁服务比例</w:t>
            </w:r>
          </w:p>
        </w:tc>
      </w:tr>
      <w:tr>
        <w:tc>
          <w:tcPr>
            <w:tcW w:type="dxa" w:w="1729"/>
            <w:vAlign w:val="center"/>
          </w:tcPr>
          <w:p>
            <w:r/>
            <w:r>
              <w:rPr>
                <w:rFonts w:ascii="宋体" w:hAnsi="宋体" w:eastAsia="宋体"/>
                <w:b w:val="0"/>
                <w:sz w:val="21"/>
              </w:rPr>
              <w:t>N5</w:t>
            </w:r>
          </w:p>
        </w:tc>
        <w:tc>
          <w:tcPr>
            <w:tcW w:type="dxa" w:w="1729"/>
            <w:vAlign w:val="center"/>
          </w:tcPr>
          <w:p>
            <w:r/>
            <w:r>
              <w:rPr>
                <w:rFonts w:ascii="宋体" w:hAnsi="宋体" w:eastAsia="宋体"/>
                <w:b w:val="0"/>
                <w:sz w:val="21"/>
              </w:rPr>
              <w:t>服务覆盖强化</w:t>
            </w:r>
          </w:p>
        </w:tc>
        <w:tc>
          <w:tcPr>
            <w:tcW w:type="dxa" w:w="1729"/>
            <w:vAlign w:val="center"/>
          </w:tcPr>
          <w:p>
            <w:r/>
            <w:r>
              <w:rPr>
                <w:rFonts w:ascii="宋体" w:hAnsi="宋体" w:eastAsia="宋体"/>
                <w:b w:val="0"/>
                <w:sz w:val="21"/>
              </w:rPr>
              <w:t>站点启用变量与分配变量</w:t>
            </w:r>
          </w:p>
        </w:tc>
        <w:tc>
          <w:tcPr>
            <w:tcW w:type="dxa" w:w="1729"/>
            <w:vAlign w:val="center"/>
          </w:tcPr>
          <w:p>
            <w:r/>
            <w:r>
              <w:rPr>
                <w:rFonts w:ascii="宋体" w:hAnsi="宋体" w:eastAsia="宋体"/>
                <w:b w:val="0"/>
                <w:sz w:val="21"/>
              </w:rPr>
              <w:t>优先启用能够覆盖未服务需求的站点，并强化可行需求的地铁运输分配</w:t>
            </w:r>
          </w:p>
        </w:tc>
        <w:tc>
          <w:tcPr>
            <w:tcW w:type="dxa" w:w="1729"/>
            <w:vAlign w:val="center"/>
          </w:tcPr>
          <w:p>
            <w:r/>
            <w:r>
              <w:rPr>
                <w:rFonts w:ascii="宋体" w:hAnsi="宋体" w:eastAsia="宋体"/>
                <w:b w:val="0"/>
                <w:sz w:val="21"/>
              </w:rPr>
              <w:t>强化 Pareto 前沿高服务端解</w:t>
            </w:r>
          </w:p>
        </w:tc>
      </w:tr>
    </w:tbl>
    <w:p/>
    <w:p>
      <w:pPr>
        <w:spacing w:line="360" w:lineRule="auto"/>
        <w:ind w:firstLine="420"/>
      </w:pPr>
      <w:r>
        <w:rPr>
          <w:rFonts w:ascii="宋体" w:hAnsi="宋体" w:eastAsia="宋体"/>
          <w:sz w:val="24"/>
        </w:rPr>
        <w:t>在局部搜索过程中，算法从外部档案中选取精英个体作为 VNS 初始解，并按照邻域序列依次搜索。对于任一邻域生成的新解，若其在约束支配意义下优于当前解，则直接接受；若二者互不支配，但新解在约束不劣的前提下具有更优的综合评价，则也可以接受。本文采用的综合评价兼顾成本和服务占比，其中成本项经尺度归一化处理，服务项以 -f2 的改善体现。该接受准则能够在不破坏可行性的前提下，使局部搜索既关注低成本解，也关注高地铁服务占比解。</w:t>
      </w:r>
    </w:p>
    <w:p>
      <w:pPr>
        <w:spacing w:line="360" w:lineRule="auto"/>
        <w:ind w:firstLine="420"/>
      </w:pPr>
      <w:r>
        <w:rPr>
          <w:rFonts w:ascii="宋体" w:hAnsi="宋体" w:eastAsia="宋体"/>
          <w:sz w:val="24"/>
        </w:rPr>
        <w:t>VNS 并非在每一代都执行，而是根据外部档案的改进状态自适应触发。当外部档案的超体积指标在最近若干代内改进幅度低于设定阈值时，说明种群搜索可能进入停滞状态，此时启动 VNS 对档案精英解进行局部强化；若外部档案仍保持明显改进，则暂不执行 VNS，以减少不必要的计算开销。该设计使局部搜索更多地作用于进化搜索的停滞阶段，增强了算法的针对性。</w:t>
      </w:r>
    </w:p>
    <w:p>
      <w:pPr>
        <w:pStyle w:val="Heading2"/>
        <w:spacing w:line="360" w:lineRule="auto"/>
      </w:pPr>
      <w:r>
        <w:rPr>
          <w:rFonts w:ascii="宋体" w:hAnsi="宋体" w:eastAsia="宋体"/>
          <w:sz w:val="24"/>
        </w:rPr>
        <w:t>4.4.3 Q-learning 驱动的邻域动作选择机制</w:t>
      </w:r>
    </w:p>
    <w:p>
      <w:pPr>
        <w:spacing w:line="360" w:lineRule="auto"/>
        <w:ind w:firstLine="420"/>
      </w:pPr>
      <w:r>
        <w:rPr>
          <w:rFonts w:ascii="宋体" w:hAnsi="宋体" w:eastAsia="宋体"/>
          <w:sz w:val="24"/>
        </w:rPr>
        <w:t>在 QVNS-NSGA-II 中，不同搜索阶段对搜索策略的需求并不相同。算法早期更需要保持种群多样性，避免过早收敛；中期需要逐步提高可行解比例并扩展 Pareto 前沿；后期则需要对低成本端和高服务端进行精细搜索。若始终采用固定变异概率和固定邻域偏好，难以适应种群状态的动态变化。因此，本文引入 Q-learning 作为超启发式动作选择机制，根据种群当前状态动态选择搜索动作。</w:t>
      </w:r>
    </w:p>
    <w:p>
      <w:pPr>
        <w:spacing w:line="360" w:lineRule="auto"/>
        <w:ind w:firstLine="420"/>
      </w:pPr>
      <w:r>
        <w:rPr>
          <w:rFonts w:ascii="宋体" w:hAnsi="宋体" w:eastAsia="宋体"/>
          <w:sz w:val="24"/>
        </w:rPr>
        <w:t>Q-learning 是一种基于状态、动作和奖励的强化学习方法。其核心是学习状态 s 下采取动作 a 的价值函数 Q(s,a)。在第 t 次迭代中，算法观察当前状态 st，选择动作 at，执行后得到奖励 rt 并转移到新状态 st+1。Q 值更新公式为</w:t>
      </w:r>
    </w:p>
    <w:p>
      <w:pPr>
        <w:spacing w:line="360" w:lineRule="auto"/>
        <w:jc w:val="center"/>
      </w:pPr>
      <w:r>
        <w:rPr>
          <w:rFonts w:ascii="宋体" w:hAnsi="宋体" w:eastAsia="宋体"/>
          <w:sz w:val="24"/>
        </w:rPr>
        <w:t>Q(s_t,a_t)←Q(s_t,a_t)+α[r_t+γ max Q(s_{t+1},a')-Q(s_t,a_t)]</w:t>
      </w:r>
    </w:p>
    <w:p>
      <w:pPr>
        <w:spacing w:line="360" w:lineRule="auto"/>
        <w:ind w:firstLine="420"/>
      </w:pPr>
      <w:r>
        <w:rPr>
          <w:rFonts w:ascii="宋体" w:hAnsi="宋体" w:eastAsia="宋体"/>
          <w:sz w:val="24"/>
        </w:rPr>
        <w:t>式中，α 为学习率，用于控制新信息对已有 Q 值的影响程度；γ 为折扣因子，用于衡量未来收益的重要性；rt 为执行动作后获得的即时奖励。</w:t>
      </w:r>
    </w:p>
    <w:p>
      <w:pPr>
        <w:spacing w:line="360" w:lineRule="auto"/>
        <w:ind w:firstLine="420"/>
      </w:pPr>
      <w:r>
        <w:rPr>
          <w:rFonts w:ascii="宋体" w:hAnsi="宋体" w:eastAsia="宋体"/>
          <w:sz w:val="24"/>
        </w:rPr>
        <w:t>本文将 Q-learning 状态设计为由迭代进度、可行解比例和非支配解比例共同组成的离散状态。迭代进度反映算法所处搜索阶段；可行解比例反映种群满足约束的程度；非支配解比例反映当前种群中具有 Pareto 竞争力个体的占比。通过将上述指标离散化，形成状态编码</w:t>
      </w:r>
    </w:p>
    <w:p>
      <w:pPr>
        <w:spacing w:line="360" w:lineRule="auto"/>
        <w:jc w:val="center"/>
      </w:pPr>
      <w:r>
        <w:rPr>
          <w:rFonts w:ascii="宋体" w:hAnsi="宋体" w:eastAsia="宋体"/>
          <w:sz w:val="24"/>
        </w:rPr>
        <w:t>s=(p_b,f_b,d_b)</w:t>
      </w:r>
    </w:p>
    <w:p>
      <w:pPr>
        <w:spacing w:line="360" w:lineRule="auto"/>
        <w:ind w:firstLine="420"/>
      </w:pPr>
      <w:r>
        <w:rPr>
          <w:rFonts w:ascii="宋体" w:hAnsi="宋体" w:eastAsia="宋体"/>
          <w:sz w:val="24"/>
        </w:rPr>
        <w:t>其中，pb 表示迭代进度区间，fb 表示可行解比例区间，db 表示非支配解比例区间。该状态设计能够从搜索阶段、约束满足程度和 Pareto 前沿形成情况三个方面刻画算法运行状态。</w:t>
      </w:r>
    </w:p>
    <w:p>
      <w:pPr>
        <w:spacing w:line="360" w:lineRule="auto"/>
        <w:ind w:firstLine="420"/>
      </w:pPr>
      <w:r>
        <w:rPr>
          <w:rFonts w:ascii="宋体" w:hAnsi="宋体" w:eastAsia="宋体"/>
          <w:sz w:val="24"/>
        </w:rPr>
        <w:t>动作集合则对应不同的搜索偏好。本文设置五类动作：标准保守动作、标准基准动作、标准多样化动作、服务占比导向动作和成本导向动作。标准保守动作采用较低变异强度，适合在种群已具备较好质量时保持稳定；标准基准动作对应常规搜索强度；标准多样化动作提高变异强度，用于增强探索；服务占比导向动作倾向于启用服务潜力较高的站点并将可行需求转入地铁联合运输；成本导向动作倾向于关闭低负载高成本站点或将部分需求转为成本较低的直接运输方式。</w:t>
      </w:r>
    </w:p>
    <w:p>
      <w:pPr>
        <w:spacing w:line="360" w:lineRule="auto"/>
        <w:ind w:firstLine="420"/>
      </w:pPr>
      <w:r>
        <w:rPr>
          <w:rFonts w:ascii="宋体" w:hAnsi="宋体" w:eastAsia="宋体"/>
          <w:sz w:val="24"/>
        </w:rPr>
        <w:t>动作选择采用 ε-greedy 策略，即以概率 ε 随机选择动作进行探索，以概率 1-ε 选择当前 Q 值最大的动作进行利用。随着迭代推进，ε 按衰减规则逐步降低：</w:t>
      </w:r>
    </w:p>
    <w:p>
      <w:pPr>
        <w:spacing w:line="360" w:lineRule="auto"/>
        <w:jc w:val="center"/>
      </w:pPr>
      <w:r>
        <w:rPr>
          <w:rFonts w:ascii="宋体" w:hAnsi="宋体" w:eastAsia="宋体"/>
          <w:sz w:val="24"/>
        </w:rPr>
        <w:t>ε_{t+1}=max(ε_min,ε_t·λ)</w:t>
      </w:r>
    </w:p>
    <w:p>
      <w:pPr>
        <w:spacing w:line="360" w:lineRule="auto"/>
        <w:ind w:firstLine="420"/>
      </w:pPr>
      <w:r>
        <w:rPr>
          <w:rFonts w:ascii="宋体" w:hAnsi="宋体" w:eastAsia="宋体"/>
          <w:sz w:val="24"/>
        </w:rPr>
        <w:t>式中，λ 为探索率衰减系数，εmin 为最小探索率。该机制保证算法早期具有一定探索能力，后期逐步转向利用已学习到的有效动作。</w:t>
      </w:r>
    </w:p>
    <w:p>
      <w:pPr>
        <w:spacing w:line="360" w:lineRule="auto"/>
        <w:ind w:firstLine="420"/>
      </w:pPr>
      <w:r>
        <w:rPr>
          <w:rFonts w:ascii="宋体" w:hAnsi="宋体" w:eastAsia="宋体"/>
          <w:sz w:val="24"/>
        </w:rPr>
        <w:t>奖励函数是 Q-learning 能否有效工作的关键。本文并不以单个个体的目标值变化作为奖励，而是以外部档案更新前后的整体多目标性能变化作为反馈。奖励主要由超体积改进、可行解比例改进、非支配解比例改进、前沿多样性改进、唯一解比例改进、最优成本端改善、最优服务端改善和平均约束违反程度下降共同构成。其一般形式可表示为</w:t>
      </w:r>
    </w:p>
    <w:p>
      <w:pPr>
        <w:spacing w:line="360" w:lineRule="auto"/>
        <w:jc w:val="center"/>
      </w:pPr>
      <w:r>
        <w:rPr>
          <w:rFonts w:ascii="宋体" w:hAnsi="宋体" w:eastAsia="宋体"/>
          <w:sz w:val="24"/>
        </w:rPr>
        <w:t>r=w1ΔHV+w2ΔFR+w3ΔND+w4ΔDiv+w5ΔUR+w6ΔC+w7ΔS-w8ΔCV</w:t>
      </w:r>
    </w:p>
    <w:p>
      <w:pPr>
        <w:spacing w:line="360" w:lineRule="auto"/>
        <w:ind w:firstLine="420"/>
      </w:pPr>
      <w:r>
        <w:rPr>
          <w:rFonts w:ascii="宋体" w:hAnsi="宋体" w:eastAsia="宋体"/>
          <w:sz w:val="24"/>
        </w:rPr>
        <w:t>式中，ΔHV 表示外部档案超体积变化，ΔFR 表示可行解比例变化，ΔND 表示非支配解比例变化，ΔDiv 表示前沿多样性变化，ΔUR 表示唯一解比例变化，ΔC 表示最优成本端改善，ΔS 表示最优服务端改善，ΔCV 表示平均约束违反程度变化。通过档案级奖励反馈，Q-learning 能够学习不同动作对 Pareto 解集整体质量的影响，而不是仅优化单一目标或个别个体。</w:t>
      </w:r>
    </w:p>
    <w:p>
      <w:pPr>
        <w:pStyle w:val="Heading2"/>
        <w:spacing w:line="360" w:lineRule="auto"/>
      </w:pPr>
      <w:r>
        <w:rPr>
          <w:rFonts w:ascii="宋体" w:hAnsi="宋体" w:eastAsia="宋体"/>
          <w:sz w:val="24"/>
        </w:rPr>
        <w:t>4.4.4 外部档案与 safeguard 回滚机制</w:t>
      </w:r>
    </w:p>
    <w:p>
      <w:pPr>
        <w:spacing w:line="360" w:lineRule="auto"/>
        <w:ind w:firstLine="420"/>
      </w:pPr>
      <w:r>
        <w:rPr>
          <w:rFonts w:ascii="宋体" w:hAnsi="宋体" w:eastAsia="宋体"/>
          <w:sz w:val="24"/>
        </w:rPr>
        <w:t>在多目标进化过程中，优良非支配解可能因交叉、变异和种群截断而被丢失。为避免该问题，本文设置外部档案保存搜索过程中发现的约束非支配解。每一代迭代结束后，算法将当前种群、子代和 VNS 改进解合并，并依据约束非支配关系更新外部档案。当档案规模超过上限时，算法优先保留成本边界解、服务边界解和拥挤距离较大的稀疏区域解，从而兼顾 Pareto 前沿的边界覆盖与分布均匀性。</w:t>
      </w:r>
    </w:p>
    <w:p>
      <w:pPr>
        <w:spacing w:line="360" w:lineRule="auto"/>
        <w:ind w:firstLine="420"/>
      </w:pPr>
      <w:r>
        <w:rPr>
          <w:rFonts w:ascii="宋体" w:hAnsi="宋体" w:eastAsia="宋体"/>
          <w:sz w:val="24"/>
        </w:rPr>
        <w:t>外部档案的更新规则可概括为：首先，从候选集合中筛选约束非支配解；其次，若存在可行非支配解，则优先保留可行解；再次，当非支配解数量超过档案容量时，保留部分成本端和服务端边界解，并对剩余解按拥挤距离排序截断。该机制不仅能够保留历史优良解，而且为 VNS 局部搜索提供质量较高的精英候选。</w:t>
      </w:r>
    </w:p>
    <w:p>
      <w:pPr>
        <w:spacing w:line="360" w:lineRule="auto"/>
        <w:ind w:firstLine="420"/>
      </w:pPr>
      <w:r>
        <w:rPr>
          <w:rFonts w:ascii="宋体" w:hAnsi="宋体" w:eastAsia="宋体"/>
          <w:sz w:val="24"/>
        </w:rPr>
        <w:t>由于 Q-learning 动作具有探索性，某些动作在特定状态下可能导致外部档案质量下降。为降低此类退化风险，本文设置 safeguard 回滚机制。具体而言，在每一代执行 Q-learning 动作前，算法保存当前种群和外部档案的副本；动作执行并完成档案更新后，算法计算本轮奖励值。若奖励低于设定安全阈值，说明该动作对档案整体性能产生明显不利影响，则回滚至动作执行前的种群和档案；若奖励不低于阈值，则接受本轮更新并修正 Q 表。</w:t>
      </w:r>
    </w:p>
    <w:p>
      <w:pPr>
        <w:spacing w:line="360" w:lineRule="auto"/>
        <w:ind w:firstLine="420"/>
      </w:pPr>
      <w:r>
        <w:rPr>
          <w:rFonts w:ascii="宋体" w:hAnsi="宋体" w:eastAsia="宋体"/>
          <w:sz w:val="24"/>
        </w:rPr>
        <w:t>该机制相当于在自适应学习外层增加稳定性约束，使 Q-learning 能够进行必要探索，但不会长期保留明显破坏 Pareto 前沿质量的搜索结果。对于强约束选址问题而言，safeguard 能够有效缓解高强度变异或偏向性动作导致的可行解比例下降、前沿塌缩和边界解丢失等问题。</w:t>
      </w:r>
    </w:p>
    <w:p>
      <w:pPr>
        <w:pStyle w:val="Heading2"/>
        <w:spacing w:line="360" w:lineRule="auto"/>
      </w:pPr>
      <w:r>
        <w:rPr>
          <w:rFonts w:ascii="宋体" w:hAnsi="宋体" w:eastAsia="宋体"/>
          <w:sz w:val="24"/>
        </w:rPr>
        <w:t>4.4.5 QVNS-NSGA-II 算法框架</w:t>
      </w:r>
    </w:p>
    <w:p>
      <w:pPr>
        <w:spacing w:line="360" w:lineRule="auto"/>
        <w:ind w:firstLine="420"/>
      </w:pPr>
      <w:r>
        <w:rPr>
          <w:rFonts w:ascii="宋体" w:hAnsi="宋体" w:eastAsia="宋体"/>
          <w:sz w:val="24"/>
        </w:rPr>
        <w:t>综合上述机制，本文构建的 QVNS-NSGA-II 算法以 NSGA-II 为主循环，以 Q-learning 控制部分子代的变异策略，以 VNS 在停滞阶段对外部档案精英解进行局部强化，并通过外部档案保存历史非支配解。算法输入包括候选站点集合、物流源集合、需求点集合、需求量、距离矩阵、换乘次数、容量参数、成本参数和算法控制参数；输出包括 Pareto 非支配解集、折中方案、收敛历史、Q 表、动作学习历史、VNS 搜索历史、站点负载和线路负载等。</w:t>
      </w:r>
    </w:p>
    <w:p>
      <w:pPr>
        <w:spacing w:line="360" w:lineRule="auto"/>
        <w:jc w:val="center"/>
      </w:pPr>
      <w:r>
        <w:rPr>
          <w:rFonts w:ascii="宋体" w:hAnsi="宋体" w:eastAsia="宋体"/>
          <w:sz w:val="24"/>
        </w:rPr>
        <w:t>表 4-5 QVNS-NSGA-II 主要参数说明</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AF7"/>
          </w:tcPr>
          <w:p>
            <w:r/>
            <w:r>
              <w:rPr>
                <w:rFonts w:ascii="宋体" w:hAnsi="宋体" w:eastAsia="宋体"/>
                <w:b/>
                <w:sz w:val="21"/>
              </w:rPr>
              <w:t>参数</w:t>
            </w:r>
          </w:p>
        </w:tc>
        <w:tc>
          <w:tcPr>
            <w:tcW w:type="dxa" w:w="2882"/>
            <w:shd w:fill="D9EAF7"/>
          </w:tcPr>
          <w:p>
            <w:r/>
            <w:r>
              <w:rPr>
                <w:rFonts w:ascii="宋体" w:hAnsi="宋体" w:eastAsia="宋体"/>
                <w:b/>
                <w:sz w:val="21"/>
              </w:rPr>
              <w:t>含义</w:t>
            </w:r>
          </w:p>
        </w:tc>
        <w:tc>
          <w:tcPr>
            <w:tcW w:type="dxa" w:w="2882"/>
            <w:shd w:fill="D9EAF7"/>
          </w:tcPr>
          <w:p>
            <w:r/>
            <w:r>
              <w:rPr>
                <w:rFonts w:ascii="宋体" w:hAnsi="宋体" w:eastAsia="宋体"/>
                <w:b/>
                <w:sz w:val="21"/>
              </w:rPr>
              <w:t>作用</w:t>
            </w:r>
          </w:p>
        </w:tc>
      </w:tr>
      <w:tr>
        <w:tc>
          <w:tcPr>
            <w:tcW w:type="dxa" w:w="2882"/>
            <w:vAlign w:val="center"/>
          </w:tcPr>
          <w:p>
            <w:r/>
            <w:r>
              <w:rPr>
                <w:rFonts w:ascii="宋体" w:hAnsi="宋体" w:eastAsia="宋体"/>
                <w:b w:val="0"/>
                <w:sz w:val="21"/>
              </w:rPr>
              <w:t>N</w:t>
            </w:r>
          </w:p>
        </w:tc>
        <w:tc>
          <w:tcPr>
            <w:tcW w:type="dxa" w:w="2882"/>
            <w:vAlign w:val="center"/>
          </w:tcPr>
          <w:p>
            <w:r/>
            <w:r>
              <w:rPr>
                <w:rFonts w:ascii="宋体" w:hAnsi="宋体" w:eastAsia="宋体"/>
                <w:b w:val="0"/>
                <w:sz w:val="21"/>
              </w:rPr>
              <w:t>种群规模</w:t>
            </w:r>
          </w:p>
        </w:tc>
        <w:tc>
          <w:tcPr>
            <w:tcW w:type="dxa" w:w="2882"/>
            <w:vAlign w:val="center"/>
          </w:tcPr>
          <w:p>
            <w:r/>
            <w:r>
              <w:rPr>
                <w:rFonts w:ascii="宋体" w:hAnsi="宋体" w:eastAsia="宋体"/>
                <w:b w:val="0"/>
                <w:sz w:val="21"/>
              </w:rPr>
              <w:t>控制每代参与进化的个体数量</w:t>
            </w:r>
          </w:p>
        </w:tc>
      </w:tr>
      <w:tr>
        <w:tc>
          <w:tcPr>
            <w:tcW w:type="dxa" w:w="2882"/>
            <w:vAlign w:val="center"/>
          </w:tcPr>
          <w:p>
            <w:r/>
            <w:r>
              <w:rPr>
                <w:rFonts w:ascii="宋体" w:hAnsi="宋体" w:eastAsia="宋体"/>
                <w:b w:val="0"/>
                <w:sz w:val="21"/>
              </w:rPr>
              <w:t>G</w:t>
            </w:r>
          </w:p>
        </w:tc>
        <w:tc>
          <w:tcPr>
            <w:tcW w:type="dxa" w:w="2882"/>
            <w:vAlign w:val="center"/>
          </w:tcPr>
          <w:p>
            <w:r/>
            <w:r>
              <w:rPr>
                <w:rFonts w:ascii="宋体" w:hAnsi="宋体" w:eastAsia="宋体"/>
                <w:b w:val="0"/>
                <w:sz w:val="21"/>
              </w:rPr>
              <w:t>最大迭代次数</w:t>
            </w:r>
          </w:p>
        </w:tc>
        <w:tc>
          <w:tcPr>
            <w:tcW w:type="dxa" w:w="2882"/>
            <w:vAlign w:val="center"/>
          </w:tcPr>
          <w:p>
            <w:r/>
            <w:r>
              <w:rPr>
                <w:rFonts w:ascii="宋体" w:hAnsi="宋体" w:eastAsia="宋体"/>
                <w:b w:val="0"/>
                <w:sz w:val="21"/>
              </w:rPr>
              <w:t>控制算法终止条件</w:t>
            </w:r>
          </w:p>
        </w:tc>
      </w:tr>
      <w:tr>
        <w:tc>
          <w:tcPr>
            <w:tcW w:type="dxa" w:w="2882"/>
            <w:vAlign w:val="center"/>
          </w:tcPr>
          <w:p>
            <w:r/>
            <w:r>
              <w:rPr>
                <w:rFonts w:ascii="宋体" w:hAnsi="宋体" w:eastAsia="宋体"/>
                <w:b w:val="0"/>
                <w:sz w:val="21"/>
              </w:rPr>
              <w:t>pc</w:t>
            </w:r>
          </w:p>
        </w:tc>
        <w:tc>
          <w:tcPr>
            <w:tcW w:type="dxa" w:w="2882"/>
            <w:vAlign w:val="center"/>
          </w:tcPr>
          <w:p>
            <w:r/>
            <w:r>
              <w:rPr>
                <w:rFonts w:ascii="宋体" w:hAnsi="宋体" w:eastAsia="宋体"/>
                <w:b w:val="0"/>
                <w:sz w:val="21"/>
              </w:rPr>
              <w:t>交叉概率</w:t>
            </w:r>
          </w:p>
        </w:tc>
        <w:tc>
          <w:tcPr>
            <w:tcW w:type="dxa" w:w="2882"/>
            <w:vAlign w:val="center"/>
          </w:tcPr>
          <w:p>
            <w:r/>
            <w:r>
              <w:rPr>
                <w:rFonts w:ascii="宋体" w:hAnsi="宋体" w:eastAsia="宋体"/>
                <w:b w:val="0"/>
                <w:sz w:val="21"/>
              </w:rPr>
              <w:t>控制父代基因重组概率</w:t>
            </w:r>
          </w:p>
        </w:tc>
      </w:tr>
      <w:tr>
        <w:tc>
          <w:tcPr>
            <w:tcW w:type="dxa" w:w="2882"/>
            <w:vAlign w:val="center"/>
          </w:tcPr>
          <w:p>
            <w:r/>
            <w:r>
              <w:rPr>
                <w:rFonts w:ascii="宋体" w:hAnsi="宋体" w:eastAsia="宋体"/>
                <w:b w:val="0"/>
                <w:sz w:val="21"/>
              </w:rPr>
              <w:t>α</w:t>
            </w:r>
          </w:p>
        </w:tc>
        <w:tc>
          <w:tcPr>
            <w:tcW w:type="dxa" w:w="2882"/>
            <w:vAlign w:val="center"/>
          </w:tcPr>
          <w:p>
            <w:r/>
            <w:r>
              <w:rPr>
                <w:rFonts w:ascii="宋体" w:hAnsi="宋体" w:eastAsia="宋体"/>
                <w:b w:val="0"/>
                <w:sz w:val="21"/>
              </w:rPr>
              <w:t>Q-learning 学习率</w:t>
            </w:r>
          </w:p>
        </w:tc>
        <w:tc>
          <w:tcPr>
            <w:tcW w:type="dxa" w:w="2882"/>
            <w:vAlign w:val="center"/>
          </w:tcPr>
          <w:p>
            <w:r/>
            <w:r>
              <w:rPr>
                <w:rFonts w:ascii="宋体" w:hAnsi="宋体" w:eastAsia="宋体"/>
                <w:b w:val="0"/>
                <w:sz w:val="21"/>
              </w:rPr>
              <w:t>控制 Q 值更新幅度</w:t>
            </w:r>
          </w:p>
        </w:tc>
      </w:tr>
      <w:tr>
        <w:tc>
          <w:tcPr>
            <w:tcW w:type="dxa" w:w="2882"/>
            <w:vAlign w:val="center"/>
          </w:tcPr>
          <w:p>
            <w:r/>
            <w:r>
              <w:rPr>
                <w:rFonts w:ascii="宋体" w:hAnsi="宋体" w:eastAsia="宋体"/>
                <w:b w:val="0"/>
                <w:sz w:val="21"/>
              </w:rPr>
              <w:t>γ</w:t>
            </w:r>
          </w:p>
        </w:tc>
        <w:tc>
          <w:tcPr>
            <w:tcW w:type="dxa" w:w="2882"/>
            <w:vAlign w:val="center"/>
          </w:tcPr>
          <w:p>
            <w:r/>
            <w:r>
              <w:rPr>
                <w:rFonts w:ascii="宋体" w:hAnsi="宋体" w:eastAsia="宋体"/>
                <w:b w:val="0"/>
                <w:sz w:val="21"/>
              </w:rPr>
              <w:t>折扣因子</w:t>
            </w:r>
          </w:p>
        </w:tc>
        <w:tc>
          <w:tcPr>
            <w:tcW w:type="dxa" w:w="2882"/>
            <w:vAlign w:val="center"/>
          </w:tcPr>
          <w:p>
            <w:r/>
            <w:r>
              <w:rPr>
                <w:rFonts w:ascii="宋体" w:hAnsi="宋体" w:eastAsia="宋体"/>
                <w:b w:val="0"/>
                <w:sz w:val="21"/>
              </w:rPr>
              <w:t>控制未来收益影响程度</w:t>
            </w:r>
          </w:p>
        </w:tc>
      </w:tr>
      <w:tr>
        <w:tc>
          <w:tcPr>
            <w:tcW w:type="dxa" w:w="2882"/>
            <w:vAlign w:val="center"/>
          </w:tcPr>
          <w:p>
            <w:r/>
            <w:r>
              <w:rPr>
                <w:rFonts w:ascii="宋体" w:hAnsi="宋体" w:eastAsia="宋体"/>
                <w:b w:val="0"/>
                <w:sz w:val="21"/>
              </w:rPr>
              <w:t>ε</w:t>
            </w:r>
          </w:p>
        </w:tc>
        <w:tc>
          <w:tcPr>
            <w:tcW w:type="dxa" w:w="2882"/>
            <w:vAlign w:val="center"/>
          </w:tcPr>
          <w:p>
            <w:r/>
            <w:r>
              <w:rPr>
                <w:rFonts w:ascii="宋体" w:hAnsi="宋体" w:eastAsia="宋体"/>
                <w:b w:val="0"/>
                <w:sz w:val="21"/>
              </w:rPr>
              <w:t>探索率</w:t>
            </w:r>
          </w:p>
        </w:tc>
        <w:tc>
          <w:tcPr>
            <w:tcW w:type="dxa" w:w="2882"/>
            <w:vAlign w:val="center"/>
          </w:tcPr>
          <w:p>
            <w:r/>
            <w:r>
              <w:rPr>
                <w:rFonts w:ascii="宋体" w:hAnsi="宋体" w:eastAsia="宋体"/>
                <w:b w:val="0"/>
                <w:sz w:val="21"/>
              </w:rPr>
              <w:t>控制随机探索动作概率</w:t>
            </w:r>
          </w:p>
        </w:tc>
      </w:tr>
      <w:tr>
        <w:tc>
          <w:tcPr>
            <w:tcW w:type="dxa" w:w="2882"/>
            <w:vAlign w:val="center"/>
          </w:tcPr>
          <w:p>
            <w:r/>
            <w:r>
              <w:rPr>
                <w:rFonts w:ascii="宋体" w:hAnsi="宋体" w:eastAsia="宋体"/>
                <w:b w:val="0"/>
                <w:sz w:val="21"/>
              </w:rPr>
              <w:t>A</w:t>
            </w:r>
          </w:p>
        </w:tc>
        <w:tc>
          <w:tcPr>
            <w:tcW w:type="dxa" w:w="2882"/>
            <w:vAlign w:val="center"/>
          </w:tcPr>
          <w:p>
            <w:r/>
            <w:r>
              <w:rPr>
                <w:rFonts w:ascii="宋体" w:hAnsi="宋体" w:eastAsia="宋体"/>
                <w:b w:val="0"/>
                <w:sz w:val="21"/>
              </w:rPr>
              <w:t>外部档案规模</w:t>
            </w:r>
          </w:p>
        </w:tc>
        <w:tc>
          <w:tcPr>
            <w:tcW w:type="dxa" w:w="2882"/>
            <w:vAlign w:val="center"/>
          </w:tcPr>
          <w:p>
            <w:r/>
            <w:r>
              <w:rPr>
                <w:rFonts w:ascii="宋体" w:hAnsi="宋体" w:eastAsia="宋体"/>
                <w:b w:val="0"/>
                <w:sz w:val="21"/>
              </w:rPr>
              <w:t>控制保存非支配解数量</w:t>
            </w:r>
          </w:p>
        </w:tc>
      </w:tr>
      <w:tr>
        <w:tc>
          <w:tcPr>
            <w:tcW w:type="dxa" w:w="2882"/>
            <w:vAlign w:val="center"/>
          </w:tcPr>
          <w:p>
            <w:r/>
            <w:r>
              <w:rPr>
                <w:rFonts w:ascii="宋体" w:hAnsi="宋体" w:eastAsia="宋体"/>
                <w:b w:val="0"/>
                <w:sz w:val="21"/>
              </w:rPr>
              <w:t>E</w:t>
            </w:r>
          </w:p>
        </w:tc>
        <w:tc>
          <w:tcPr>
            <w:tcW w:type="dxa" w:w="2882"/>
            <w:vAlign w:val="center"/>
          </w:tcPr>
          <w:p>
            <w:r/>
            <w:r>
              <w:rPr>
                <w:rFonts w:ascii="宋体" w:hAnsi="宋体" w:eastAsia="宋体"/>
                <w:b w:val="0"/>
                <w:sz w:val="21"/>
              </w:rPr>
              <w:t>VNS 精英数量</w:t>
            </w:r>
          </w:p>
        </w:tc>
        <w:tc>
          <w:tcPr>
            <w:tcW w:type="dxa" w:w="2882"/>
            <w:vAlign w:val="center"/>
          </w:tcPr>
          <w:p>
            <w:r/>
            <w:r>
              <w:rPr>
                <w:rFonts w:ascii="宋体" w:hAnsi="宋体" w:eastAsia="宋体"/>
                <w:b w:val="0"/>
                <w:sz w:val="21"/>
              </w:rPr>
              <w:t>控制局部搜索作用对象数量</w:t>
            </w:r>
          </w:p>
        </w:tc>
      </w:tr>
      <w:tr>
        <w:tc>
          <w:tcPr>
            <w:tcW w:type="dxa" w:w="2882"/>
            <w:vAlign w:val="center"/>
          </w:tcPr>
          <w:p>
            <w:r/>
            <w:r>
              <w:rPr>
                <w:rFonts w:ascii="宋体" w:hAnsi="宋体" w:eastAsia="宋体"/>
                <w:b w:val="0"/>
                <w:sz w:val="21"/>
              </w:rPr>
              <w:t>Kv</w:t>
            </w:r>
          </w:p>
        </w:tc>
        <w:tc>
          <w:tcPr>
            <w:tcW w:type="dxa" w:w="2882"/>
            <w:vAlign w:val="center"/>
          </w:tcPr>
          <w:p>
            <w:r/>
            <w:r>
              <w:rPr>
                <w:rFonts w:ascii="宋体" w:hAnsi="宋体" w:eastAsia="宋体"/>
                <w:b w:val="0"/>
                <w:sz w:val="21"/>
              </w:rPr>
              <w:t>VNS 邻域数量</w:t>
            </w:r>
          </w:p>
        </w:tc>
        <w:tc>
          <w:tcPr>
            <w:tcW w:type="dxa" w:w="2882"/>
            <w:vAlign w:val="center"/>
          </w:tcPr>
          <w:p>
            <w:r/>
            <w:r>
              <w:rPr>
                <w:rFonts w:ascii="宋体" w:hAnsi="宋体" w:eastAsia="宋体"/>
                <w:b w:val="0"/>
                <w:sz w:val="21"/>
              </w:rPr>
              <w:t>控制局部搜索结构数量</w:t>
            </w:r>
          </w:p>
        </w:tc>
      </w:tr>
      <w:tr>
        <w:tc>
          <w:tcPr>
            <w:tcW w:type="dxa" w:w="2882"/>
            <w:vAlign w:val="center"/>
          </w:tcPr>
          <w:p>
            <w:r/>
            <w:r>
              <w:rPr>
                <w:rFonts w:ascii="宋体" w:hAnsi="宋体" w:eastAsia="宋体"/>
                <w:b w:val="0"/>
                <w:sz w:val="21"/>
              </w:rPr>
              <w:t>Tv</w:t>
            </w:r>
          </w:p>
        </w:tc>
        <w:tc>
          <w:tcPr>
            <w:tcW w:type="dxa" w:w="2882"/>
            <w:vAlign w:val="center"/>
          </w:tcPr>
          <w:p>
            <w:r/>
            <w:r>
              <w:rPr>
                <w:rFonts w:ascii="宋体" w:hAnsi="宋体" w:eastAsia="宋体"/>
                <w:b w:val="0"/>
                <w:sz w:val="21"/>
              </w:rPr>
              <w:t>每邻域尝试次数</w:t>
            </w:r>
          </w:p>
        </w:tc>
        <w:tc>
          <w:tcPr>
            <w:tcW w:type="dxa" w:w="2882"/>
            <w:vAlign w:val="center"/>
          </w:tcPr>
          <w:p>
            <w:r/>
            <w:r>
              <w:rPr>
                <w:rFonts w:ascii="宋体" w:hAnsi="宋体" w:eastAsia="宋体"/>
                <w:b w:val="0"/>
                <w:sz w:val="21"/>
              </w:rPr>
              <w:t>控制局部搜索强度</w:t>
            </w:r>
          </w:p>
        </w:tc>
      </w:tr>
      <w:tr>
        <w:tc>
          <w:tcPr>
            <w:tcW w:type="dxa" w:w="2882"/>
            <w:vAlign w:val="center"/>
          </w:tcPr>
          <w:p>
            <w:r/>
            <w:r>
              <w:rPr>
                <w:rFonts w:ascii="宋体" w:hAnsi="宋体" w:eastAsia="宋体"/>
                <w:b w:val="0"/>
                <w:sz w:val="21"/>
              </w:rPr>
              <w:t>W</w:t>
            </w:r>
          </w:p>
        </w:tc>
        <w:tc>
          <w:tcPr>
            <w:tcW w:type="dxa" w:w="2882"/>
            <w:vAlign w:val="center"/>
          </w:tcPr>
          <w:p>
            <w:r/>
            <w:r>
              <w:rPr>
                <w:rFonts w:ascii="宋体" w:hAnsi="宋体" w:eastAsia="宋体"/>
                <w:b w:val="0"/>
                <w:sz w:val="21"/>
              </w:rPr>
              <w:t>停滞检测窗口</w:t>
            </w:r>
          </w:p>
        </w:tc>
        <w:tc>
          <w:tcPr>
            <w:tcW w:type="dxa" w:w="2882"/>
            <w:vAlign w:val="center"/>
          </w:tcPr>
          <w:p>
            <w:r/>
            <w:r>
              <w:rPr>
                <w:rFonts w:ascii="宋体" w:hAnsi="宋体" w:eastAsia="宋体"/>
                <w:b w:val="0"/>
                <w:sz w:val="21"/>
              </w:rPr>
              <w:t>判断是否触发 VNS</w:t>
            </w:r>
          </w:p>
        </w:tc>
      </w:tr>
      <w:tr>
        <w:tc>
          <w:tcPr>
            <w:tcW w:type="dxa" w:w="2882"/>
            <w:vAlign w:val="center"/>
          </w:tcPr>
          <w:p>
            <w:r/>
            <w:r>
              <w:rPr>
                <w:rFonts w:ascii="宋体" w:hAnsi="宋体" w:eastAsia="宋体"/>
                <w:b w:val="0"/>
                <w:sz w:val="21"/>
              </w:rPr>
              <w:t>η</w:t>
            </w:r>
          </w:p>
        </w:tc>
        <w:tc>
          <w:tcPr>
            <w:tcW w:type="dxa" w:w="2882"/>
            <w:vAlign w:val="center"/>
          </w:tcPr>
          <w:p>
            <w:r/>
            <w:r>
              <w:rPr>
                <w:rFonts w:ascii="宋体" w:hAnsi="宋体" w:eastAsia="宋体"/>
                <w:b w:val="0"/>
                <w:sz w:val="21"/>
              </w:rPr>
              <w:t>safeguard 阈值</w:t>
            </w:r>
          </w:p>
        </w:tc>
        <w:tc>
          <w:tcPr>
            <w:tcW w:type="dxa" w:w="2882"/>
            <w:vAlign w:val="center"/>
          </w:tcPr>
          <w:p>
            <w:r/>
            <w:r>
              <w:rPr>
                <w:rFonts w:ascii="宋体" w:hAnsi="宋体" w:eastAsia="宋体"/>
                <w:b w:val="0"/>
                <w:sz w:val="21"/>
              </w:rPr>
              <w:t>判断是否回滚退化动作</w:t>
            </w:r>
          </w:p>
        </w:tc>
      </w:tr>
    </w:tbl>
    <w:p/>
    <w:p>
      <w:pPr>
        <w:spacing w:line="360" w:lineRule="auto"/>
        <w:ind w:firstLine="420"/>
      </w:pPr>
      <w:r>
        <w:rPr>
          <w:rFonts w:ascii="宋体" w:hAnsi="宋体" w:eastAsia="宋体"/>
          <w:sz w:val="24"/>
        </w:rPr>
        <w:t>算法伪代码如下。</w:t>
      </w:r>
    </w:p>
    <w:p>
      <w:pPr>
        <w:spacing w:line="264" w:lineRule="auto"/>
      </w:pPr>
      <w:r>
        <w:rPr>
          <w:rFonts w:ascii="Consolas" w:hAnsi="Consolas"/>
          <w:sz w:val="19"/>
        </w:rPr>
        <w:t>算法 4-1 QVNS-NSGA-II 算法</w:t>
        <w:br/>
      </w:r>
      <w:r>
        <w:rPr>
          <w:rFonts w:ascii="Consolas" w:hAnsi="Consolas"/>
          <w:sz w:val="19"/>
        </w:rPr>
        <w:t>输入：候选站点、物流源、需求点、需求量、距离矩阵、容量与成本参数；</w:t>
        <w:br/>
      </w:r>
      <w:r>
        <w:rPr>
          <w:rFonts w:ascii="Consolas" w:hAnsi="Consolas"/>
          <w:sz w:val="19"/>
        </w:rPr>
        <w:t xml:space="preserve">      种群规模 N，最大迭代次数 G，交叉概率 pc；</w:t>
        <w:br/>
      </w:r>
      <w:r>
        <w:rPr>
          <w:rFonts w:ascii="Consolas" w:hAnsi="Consolas"/>
          <w:sz w:val="19"/>
        </w:rPr>
        <w:t xml:space="preserve">      Q-learning 参数 α、γ、ε、εmin；外部档案规模 A；VNS 参数。</w:t>
        <w:br/>
      </w:r>
      <w:r>
        <w:rPr>
          <w:rFonts w:ascii="Consolas" w:hAnsi="Consolas"/>
          <w:sz w:val="19"/>
        </w:rPr>
        <w:t>输出：Pareto 解集 P*，折中方案 x*，收敛历史，Q 表，VNS 历史。</w:t>
        <w:br/>
      </w:r>
      <w:r>
        <w:rPr>
          <w:rFonts w:ascii="Consolas" w:hAnsi="Consolas"/>
          <w:sz w:val="19"/>
        </w:rPr>
        <w:br/>
      </w:r>
      <w:r>
        <w:rPr>
          <w:rFonts w:ascii="Consolas" w:hAnsi="Consolas"/>
          <w:sz w:val="19"/>
        </w:rPr>
        <w:t>1  构建地铁物流中转站布局优化算例；</w:t>
        <w:br/>
      </w:r>
      <w:r>
        <w:rPr>
          <w:rFonts w:ascii="Consolas" w:hAnsi="Consolas"/>
          <w:sz w:val="19"/>
        </w:rPr>
        <w:t>2  初始化种群 P0，并对个体执行约束修复；</w:t>
        <w:br/>
      </w:r>
      <w:r>
        <w:rPr>
          <w:rFonts w:ascii="Consolas" w:hAnsi="Consolas"/>
          <w:sz w:val="19"/>
        </w:rPr>
        <w:t>3  计算 P0 中各个体的目标向量 F(x)=[Z1(x),-Z2(x)] 和 CV(x)；</w:t>
        <w:br/>
      </w:r>
      <w:r>
        <w:rPr>
          <w:rFonts w:ascii="Consolas" w:hAnsi="Consolas"/>
          <w:sz w:val="19"/>
        </w:rPr>
        <w:t>4  初始化外部档案 Archive 和 Q 表；</w:t>
        <w:br/>
      </w:r>
      <w:r>
        <w:rPr>
          <w:rFonts w:ascii="Consolas" w:hAnsi="Consolas"/>
          <w:sz w:val="19"/>
        </w:rPr>
        <w:t>5  for g = 0,1,...,G do</w:t>
        <w:br/>
      </w:r>
      <w:r>
        <w:rPr>
          <w:rFonts w:ascii="Consolas" w:hAnsi="Consolas"/>
          <w:sz w:val="19"/>
        </w:rPr>
        <w:t>6      对当前种群 Pg 执行约束非支配排序并计算拥挤距离；</w:t>
        <w:br/>
      </w:r>
      <w:r>
        <w:rPr>
          <w:rFonts w:ascii="Consolas" w:hAnsi="Consolas"/>
          <w:sz w:val="19"/>
        </w:rPr>
        <w:t>7      根据迭代进度、可行解比例和非支配解比例构造状态 s；</w:t>
        <w:br/>
      </w:r>
      <w:r>
        <w:rPr>
          <w:rFonts w:ascii="Consolas" w:hAnsi="Consolas"/>
          <w:sz w:val="19"/>
        </w:rPr>
        <w:t>8      按 ε-greedy 策略选择动作 a；</w:t>
        <w:br/>
      </w:r>
      <w:r>
        <w:rPr>
          <w:rFonts w:ascii="Consolas" w:hAnsi="Consolas"/>
          <w:sz w:val="19"/>
        </w:rPr>
        <w:t>9      保存当前种群和外部档案副本；</w:t>
        <w:br/>
      </w:r>
      <w:r>
        <w:rPr>
          <w:rFonts w:ascii="Consolas" w:hAnsi="Consolas"/>
          <w:sz w:val="19"/>
        </w:rPr>
        <w:t>10     通过锦标赛选择、交叉和动作驱动变异生成子代；</w:t>
        <w:br/>
      </w:r>
      <w:r>
        <w:rPr>
          <w:rFonts w:ascii="Consolas" w:hAnsi="Consolas"/>
          <w:sz w:val="19"/>
        </w:rPr>
        <w:t>11     对子代执行修复并计算目标值与 CV；</w:t>
        <w:br/>
      </w:r>
      <w:r>
        <w:rPr>
          <w:rFonts w:ascii="Consolas" w:hAnsi="Consolas"/>
          <w:sz w:val="19"/>
        </w:rPr>
        <w:t>12     合并父代、子代和候选解；</w:t>
        <w:br/>
      </w:r>
      <w:r>
        <w:rPr>
          <w:rFonts w:ascii="Consolas" w:hAnsi="Consolas"/>
          <w:sz w:val="19"/>
        </w:rPr>
        <w:t>13     if 外部档案超体积在最近窗口内改进不足 then</w:t>
        <w:br/>
      </w:r>
      <w:r>
        <w:rPr>
          <w:rFonts w:ascii="Consolas" w:hAnsi="Consolas"/>
          <w:sz w:val="19"/>
        </w:rPr>
        <w:t>14         从 Archive 中选择边界解和稀疏区域精英解；</w:t>
        <w:br/>
      </w:r>
      <w:r>
        <w:rPr>
          <w:rFonts w:ascii="Consolas" w:hAnsi="Consolas"/>
          <w:sz w:val="19"/>
        </w:rPr>
        <w:t>15         对精英解依次执行 N1 至 N5 变量邻域搜索；</w:t>
        <w:br/>
      </w:r>
      <w:r>
        <w:rPr>
          <w:rFonts w:ascii="Consolas" w:hAnsi="Consolas"/>
          <w:sz w:val="19"/>
        </w:rPr>
        <w:t>16         将 VNS 改进解加入候选集合；</w:t>
        <w:br/>
      </w:r>
      <w:r>
        <w:rPr>
          <w:rFonts w:ascii="Consolas" w:hAnsi="Consolas"/>
          <w:sz w:val="19"/>
        </w:rPr>
        <w:t>17     end if</w:t>
        <w:br/>
      </w:r>
      <w:r>
        <w:rPr>
          <w:rFonts w:ascii="Consolas" w:hAnsi="Consolas"/>
          <w:sz w:val="19"/>
        </w:rPr>
        <w:t>18     更新外部档案 Archive；</w:t>
        <w:br/>
      </w:r>
      <w:r>
        <w:rPr>
          <w:rFonts w:ascii="Consolas" w:hAnsi="Consolas"/>
          <w:sz w:val="19"/>
        </w:rPr>
        <w:t>19     根据非支配等级和拥挤距离选择下一代种群 Pg+1；</w:t>
        <w:br/>
      </w:r>
      <w:r>
        <w:rPr>
          <w:rFonts w:ascii="Consolas" w:hAnsi="Consolas"/>
          <w:sz w:val="19"/>
        </w:rPr>
        <w:t>20     根据外部档案更新前后的指标变化计算奖励 r；</w:t>
        <w:br/>
      </w:r>
      <w:r>
        <w:rPr>
          <w:rFonts w:ascii="Consolas" w:hAnsi="Consolas"/>
          <w:sz w:val="19"/>
        </w:rPr>
        <w:t>21     if r &lt; η then</w:t>
        <w:br/>
      </w:r>
      <w:r>
        <w:rPr>
          <w:rFonts w:ascii="Consolas" w:hAnsi="Consolas"/>
          <w:sz w:val="19"/>
        </w:rPr>
        <w:t>22         回滚至动作执行前的种群和外部档案；</w:t>
        <w:br/>
      </w:r>
      <w:r>
        <w:rPr>
          <w:rFonts w:ascii="Consolas" w:hAnsi="Consolas"/>
          <w:sz w:val="19"/>
        </w:rPr>
        <w:t>23     else</w:t>
        <w:br/>
      </w:r>
      <w:r>
        <w:rPr>
          <w:rFonts w:ascii="Consolas" w:hAnsi="Consolas"/>
          <w:sz w:val="19"/>
        </w:rPr>
        <w:t>24         更新 Q(s,a)；</w:t>
        <w:br/>
      </w:r>
      <w:r>
        <w:rPr>
          <w:rFonts w:ascii="Consolas" w:hAnsi="Consolas"/>
          <w:sz w:val="19"/>
        </w:rPr>
        <w:t>25     end if</w:t>
        <w:br/>
      </w:r>
      <w:r>
        <w:rPr>
          <w:rFonts w:ascii="Consolas" w:hAnsi="Consolas"/>
          <w:sz w:val="19"/>
        </w:rPr>
        <w:t>26     更新探索率 ε；</w:t>
        <w:br/>
      </w:r>
      <w:r>
        <w:rPr>
          <w:rFonts w:ascii="Consolas" w:hAnsi="Consolas"/>
          <w:sz w:val="19"/>
        </w:rPr>
        <w:t>27  end for</w:t>
        <w:br/>
      </w:r>
      <w:r>
        <w:rPr>
          <w:rFonts w:ascii="Consolas" w:hAnsi="Consolas"/>
          <w:sz w:val="19"/>
        </w:rPr>
        <w:t>28  从 Archive 中提取最终可行非支配解集 P*；</w:t>
        <w:br/>
      </w:r>
      <w:r>
        <w:rPr>
          <w:rFonts w:ascii="Consolas" w:hAnsi="Consolas"/>
          <w:sz w:val="19"/>
        </w:rPr>
        <w:t>29  采用折中决策方法选择代表性方案 x*；</w:t>
        <w:br/>
      </w:r>
      <w:r>
        <w:rPr>
          <w:rFonts w:ascii="Consolas" w:hAnsi="Consolas"/>
          <w:sz w:val="19"/>
        </w:rPr>
        <w:t>30  输出 Pareto 前沿、收敛曲线、Q 表、VNS 历史和折中方案。</w:t>
        <w:br/>
      </w:r>
    </w:p>
    <w:p>
      <w:pPr>
        <w:spacing w:line="360" w:lineRule="auto"/>
        <w:ind w:firstLine="420"/>
      </w:pPr>
      <w:r>
        <w:rPr>
          <w:rFonts w:ascii="宋体" w:hAnsi="宋体" w:eastAsia="宋体"/>
          <w:sz w:val="24"/>
        </w:rPr>
        <w:t>从算法框架可以看出，NSGA-II 负责提供持续的全局搜索能力，VNS 负责在局部区域对优良解进行结构化改进，Q-learning 负责根据搜索状态动态调整动作偏好，外部档案负责保留历史非支配解并为 VNS 和奖励计算提供依据，safeguard 则负责抑制自适应探索过程中的显著退化。上述模块共同构成适用于本文选址模型的混合多目标启发式算法。</w:t>
      </w:r>
    </w:p>
    <w:p>
      <w:pPr>
        <w:pStyle w:val="Heading2"/>
        <w:spacing w:line="360" w:lineRule="auto"/>
      </w:pPr>
      <w:r>
        <w:rPr>
          <w:rFonts w:ascii="宋体" w:hAnsi="宋体" w:eastAsia="宋体"/>
          <w:sz w:val="24"/>
        </w:rPr>
        <w:t>4.4.6 算法流程与复杂度分析</w:t>
      </w:r>
    </w:p>
    <w:p>
      <w:pPr>
        <w:spacing w:line="360" w:lineRule="auto"/>
        <w:ind w:firstLine="420"/>
      </w:pPr>
      <w:r>
        <w:rPr>
          <w:rFonts w:ascii="宋体" w:hAnsi="宋体" w:eastAsia="宋体"/>
          <w:sz w:val="24"/>
        </w:rPr>
        <w:t>QVNS-NSGA-II 的流程可分为初始化阶段、进化搜索阶段、自适应学习阶段、局部强化阶段和结果输出阶段。初始化阶段完成数据读取、染色体构造、种群生成和约束修复；进化搜索阶段基于 NSGA-II 完成非支配排序、拥挤距离计算、选择、交叉和变异；自适应学习阶段根据种群状态选择搜索动作并更新 Q 表；局部强化阶段在搜索停滞时启动 VNS，对外部档案精英解进行多邻域改进；结果输出阶段则导出 Pareto 前沿、收敛曲线、Q 表、VNS 历史和折中方案。</w:t>
      </w:r>
    </w:p>
    <w:p>
      <w:pPr>
        <w:spacing w:line="360" w:lineRule="auto"/>
        <w:ind w:firstLine="420"/>
      </w:pPr>
      <w:r>
        <w:rPr>
          <w:rFonts w:ascii="宋体" w:hAnsi="宋体" w:eastAsia="宋体"/>
          <w:sz w:val="24"/>
        </w:rPr>
        <w:t>根据 draw.io 图形规范，本文算法流程图应采用矩形表示处理步骤，菱形表示判断条件，虚线框表示 Q-learning 和 VNS 两个增强模块，外部档案采用数据库形状表示。流程图应突出如下关系：Q-learning 动作影响子代变异策略；VNS 以外部档案精英解为搜索对象；外部档案同时参与奖励计算、VNS 精英选择和最终结果输出；safeguard 根据奖励判断是否回滚种群与档案。本文已据此绘制“QVNS-NSGA-II 算法流程.drawio”，可直接导入 draw.io 或 diagrams.net 进行编辑和排版。</w:t>
      </w:r>
    </w:p>
    <w:p>
      <w:pPr>
        <w:spacing w:line="360" w:lineRule="auto"/>
        <w:ind w:firstLine="420"/>
      </w:pPr>
      <w:r>
        <w:rPr>
          <w:rFonts w:ascii="宋体" w:hAnsi="宋体" w:eastAsia="宋体"/>
          <w:sz w:val="24"/>
        </w:rPr>
        <w:t>为分析算法计算复杂度，设种群规模为 N，最大迭代次数为 G，目标数为 M，染色体长度为 L，外部档案规模为 A，VNS 触发次数为 R，每次参与 VNS 的精英数量为 E，邻域数量为 Kv，每个邻域尝试次数为 Tv。在每一代中，个体评价的复杂度与染色体解码及目标函数计算有关，可记为 O(NL)。快速非支配排序在直接矩阵比较实现下的复杂度约为 O(MN^2)，拥挤距离计算复杂度约为 O(MNlogN)。交叉与变异对染色体逐位操作，复杂度约为 O(NL)。外部档案更新需要对候选集合进行非支配筛选，其复杂度与候选规模有关，可近似记为 O(MA^2) 或 O(M(N+A)^2)。Q-learning 的状态构造和 Q 值更新仅涉及有限动作集合，其复杂度相对较低，可视为 O(1) 至 O(N)。若触发 VNS，则局部搜索复杂度约为 O(EKvTvL)。</w:t>
      </w:r>
    </w:p>
    <w:p>
      <w:pPr>
        <w:spacing w:line="360" w:lineRule="auto"/>
        <w:ind w:firstLine="420"/>
      </w:pPr>
      <w:r>
        <w:rPr>
          <w:rFonts w:ascii="宋体" w:hAnsi="宋体" w:eastAsia="宋体"/>
          <w:sz w:val="24"/>
        </w:rPr>
        <w:t>因此，算法总体时间复杂度可表示为</w:t>
      </w:r>
    </w:p>
    <w:p>
      <w:pPr>
        <w:spacing w:line="360" w:lineRule="auto"/>
        <w:jc w:val="center"/>
      </w:pPr>
      <w:r>
        <w:rPr>
          <w:rFonts w:ascii="宋体" w:hAnsi="宋体" w:eastAsia="宋体"/>
          <w:sz w:val="24"/>
        </w:rPr>
        <w:t>O(G(MN^2+MNlogN+NL+M(N+A)^2)+REK_vT_vL)</w:t>
      </w:r>
    </w:p>
    <w:p>
      <w:pPr>
        <w:spacing w:line="360" w:lineRule="auto"/>
        <w:ind w:firstLine="420"/>
      </w:pPr>
      <w:r>
        <w:rPr>
          <w:rFonts w:ascii="宋体" w:hAnsi="宋体" w:eastAsia="宋体"/>
          <w:sz w:val="24"/>
        </w:rPr>
        <w:t>当目标数 M=2 且动作集合规模固定时，算法主要计算开销来自非支配排序、外部档案更新和 VNS 局部搜索。空间复杂度主要由种群、目标函数矩阵、约束违反向量、外部档案和 Q 表构成，可表示为</w:t>
      </w:r>
    </w:p>
    <w:p>
      <w:pPr>
        <w:spacing w:line="360" w:lineRule="auto"/>
        <w:jc w:val="center"/>
      </w:pPr>
      <w:r>
        <w:rPr>
          <w:rFonts w:ascii="宋体" w:hAnsi="宋体" w:eastAsia="宋体"/>
          <w:sz w:val="24"/>
        </w:rPr>
        <w:t>O(NL+AL+NS+|S||A_c|)</w:t>
      </w:r>
    </w:p>
    <w:p>
      <w:pPr>
        <w:spacing w:line="360" w:lineRule="auto"/>
        <w:ind w:firstLine="420"/>
      </w:pPr>
      <w:r>
        <w:rPr>
          <w:rFonts w:ascii="宋体" w:hAnsi="宋体" w:eastAsia="宋体"/>
          <w:sz w:val="24"/>
        </w:rPr>
        <w:t>式中，|S| 为 Q-learning 离散状态数量，|Ac| 为动作数量。由于本文状态和动作数量均为有限离散集合，Q 表占用空间较小，主要空间开销来自种群与外部档案的染色体存储。</w:t>
      </w:r>
    </w:p>
    <w:p>
      <w:pPr>
        <w:spacing w:line="360" w:lineRule="auto"/>
        <w:jc w:val="center"/>
      </w:pPr>
      <w:r>
        <w:rPr>
          <w:rFonts w:ascii="宋体" w:hAnsi="宋体" w:eastAsia="宋体"/>
          <w:sz w:val="24"/>
        </w:rPr>
        <w:t>表 4-6 QVNS-NSGA-II 主要模块复杂度分析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AF7"/>
          </w:tcPr>
          <w:p>
            <w:r/>
            <w:r>
              <w:rPr>
                <w:rFonts w:ascii="宋体" w:hAnsi="宋体" w:eastAsia="宋体"/>
                <w:b/>
                <w:sz w:val="21"/>
              </w:rPr>
              <w:t>模块</w:t>
            </w:r>
          </w:p>
        </w:tc>
        <w:tc>
          <w:tcPr>
            <w:tcW w:type="dxa" w:w="2161"/>
            <w:shd w:fill="D9EAF7"/>
          </w:tcPr>
          <w:p>
            <w:r/>
            <w:r>
              <w:rPr>
                <w:rFonts w:ascii="宋体" w:hAnsi="宋体" w:eastAsia="宋体"/>
                <w:b/>
                <w:sz w:val="21"/>
              </w:rPr>
              <w:t>主要操作</w:t>
            </w:r>
          </w:p>
        </w:tc>
        <w:tc>
          <w:tcPr>
            <w:tcW w:type="dxa" w:w="2161"/>
            <w:shd w:fill="D9EAF7"/>
          </w:tcPr>
          <w:p>
            <w:r/>
            <w:r>
              <w:rPr>
                <w:rFonts w:ascii="宋体" w:hAnsi="宋体" w:eastAsia="宋体"/>
                <w:b/>
                <w:sz w:val="21"/>
              </w:rPr>
              <w:t>时间复杂度</w:t>
            </w:r>
          </w:p>
        </w:tc>
        <w:tc>
          <w:tcPr>
            <w:tcW w:type="dxa" w:w="2161"/>
            <w:shd w:fill="D9EAF7"/>
          </w:tcPr>
          <w:p>
            <w:r/>
            <w:r>
              <w:rPr>
                <w:rFonts w:ascii="宋体" w:hAnsi="宋体" w:eastAsia="宋体"/>
                <w:b/>
                <w:sz w:val="21"/>
              </w:rPr>
              <w:t>说明</w:t>
            </w:r>
          </w:p>
        </w:tc>
      </w:tr>
      <w:tr>
        <w:tc>
          <w:tcPr>
            <w:tcW w:type="dxa" w:w="2161"/>
            <w:vAlign w:val="center"/>
          </w:tcPr>
          <w:p>
            <w:r/>
            <w:r>
              <w:rPr>
                <w:rFonts w:ascii="宋体" w:hAnsi="宋体" w:eastAsia="宋体"/>
                <w:b w:val="0"/>
                <w:sz w:val="21"/>
              </w:rPr>
              <w:t>个体评价</w:t>
            </w:r>
          </w:p>
        </w:tc>
        <w:tc>
          <w:tcPr>
            <w:tcW w:type="dxa" w:w="2161"/>
            <w:vAlign w:val="center"/>
          </w:tcPr>
          <w:p>
            <w:r/>
            <w:r>
              <w:rPr>
                <w:rFonts w:ascii="宋体" w:hAnsi="宋体" w:eastAsia="宋体"/>
                <w:b w:val="0"/>
                <w:sz w:val="21"/>
              </w:rPr>
              <w:t>解码、成本计算、服务占比计算、约束检查</w:t>
            </w:r>
          </w:p>
        </w:tc>
        <w:tc>
          <w:tcPr>
            <w:tcW w:type="dxa" w:w="2161"/>
            <w:vAlign w:val="center"/>
          </w:tcPr>
          <w:p>
            <w:r/>
            <w:r>
              <w:rPr>
                <w:rFonts w:ascii="宋体" w:hAnsi="宋体" w:eastAsia="宋体"/>
                <w:b w:val="0"/>
                <w:sz w:val="21"/>
              </w:rPr>
              <w:t>O(NL)</w:t>
            </w:r>
          </w:p>
        </w:tc>
        <w:tc>
          <w:tcPr>
            <w:tcW w:type="dxa" w:w="2161"/>
            <w:vAlign w:val="center"/>
          </w:tcPr>
          <w:p>
            <w:r/>
            <w:r>
              <w:rPr>
                <w:rFonts w:ascii="宋体" w:hAnsi="宋体" w:eastAsia="宋体"/>
                <w:b w:val="0"/>
                <w:sz w:val="21"/>
              </w:rPr>
              <w:t>与染色体长度和种群规模相关</w:t>
            </w:r>
          </w:p>
        </w:tc>
      </w:tr>
      <w:tr>
        <w:tc>
          <w:tcPr>
            <w:tcW w:type="dxa" w:w="2161"/>
            <w:vAlign w:val="center"/>
          </w:tcPr>
          <w:p>
            <w:r/>
            <w:r>
              <w:rPr>
                <w:rFonts w:ascii="宋体" w:hAnsi="宋体" w:eastAsia="宋体"/>
                <w:b w:val="0"/>
                <w:sz w:val="21"/>
              </w:rPr>
              <w:t>非支配排序</w:t>
            </w:r>
          </w:p>
        </w:tc>
        <w:tc>
          <w:tcPr>
            <w:tcW w:type="dxa" w:w="2161"/>
            <w:vAlign w:val="center"/>
          </w:tcPr>
          <w:p>
            <w:r/>
            <w:r>
              <w:rPr>
                <w:rFonts w:ascii="宋体" w:hAnsi="宋体" w:eastAsia="宋体"/>
                <w:b w:val="0"/>
                <w:sz w:val="21"/>
              </w:rPr>
              <w:t>约束支配比较与分层</w:t>
            </w:r>
          </w:p>
        </w:tc>
        <w:tc>
          <w:tcPr>
            <w:tcW w:type="dxa" w:w="2161"/>
            <w:vAlign w:val="center"/>
          </w:tcPr>
          <w:p>
            <w:r/>
            <w:r>
              <w:rPr>
                <w:rFonts w:ascii="宋体" w:hAnsi="宋体" w:eastAsia="宋体"/>
                <w:b w:val="0"/>
                <w:sz w:val="21"/>
              </w:rPr>
              <w:t>O(MN^2)</w:t>
            </w:r>
          </w:p>
        </w:tc>
        <w:tc>
          <w:tcPr>
            <w:tcW w:type="dxa" w:w="2161"/>
            <w:vAlign w:val="center"/>
          </w:tcPr>
          <w:p>
            <w:r/>
            <w:r>
              <w:rPr>
                <w:rFonts w:ascii="宋体" w:hAnsi="宋体" w:eastAsia="宋体"/>
                <w:b w:val="0"/>
                <w:sz w:val="21"/>
              </w:rPr>
              <w:t>多目标进化主要开销之一</w:t>
            </w:r>
          </w:p>
        </w:tc>
      </w:tr>
      <w:tr>
        <w:tc>
          <w:tcPr>
            <w:tcW w:type="dxa" w:w="2161"/>
            <w:vAlign w:val="center"/>
          </w:tcPr>
          <w:p>
            <w:r/>
            <w:r>
              <w:rPr>
                <w:rFonts w:ascii="宋体" w:hAnsi="宋体" w:eastAsia="宋体"/>
                <w:b w:val="0"/>
                <w:sz w:val="21"/>
              </w:rPr>
              <w:t>拥挤距离</w:t>
            </w:r>
          </w:p>
        </w:tc>
        <w:tc>
          <w:tcPr>
            <w:tcW w:type="dxa" w:w="2161"/>
            <w:vAlign w:val="center"/>
          </w:tcPr>
          <w:p>
            <w:r/>
            <w:r>
              <w:rPr>
                <w:rFonts w:ascii="宋体" w:hAnsi="宋体" w:eastAsia="宋体"/>
                <w:b w:val="0"/>
                <w:sz w:val="21"/>
              </w:rPr>
              <w:t>同层个体排序与距离计算</w:t>
            </w:r>
          </w:p>
        </w:tc>
        <w:tc>
          <w:tcPr>
            <w:tcW w:type="dxa" w:w="2161"/>
            <w:vAlign w:val="center"/>
          </w:tcPr>
          <w:p>
            <w:r/>
            <w:r>
              <w:rPr>
                <w:rFonts w:ascii="宋体" w:hAnsi="宋体" w:eastAsia="宋体"/>
                <w:b w:val="0"/>
                <w:sz w:val="21"/>
              </w:rPr>
              <w:t>O(MNlogN)</w:t>
            </w:r>
          </w:p>
        </w:tc>
        <w:tc>
          <w:tcPr>
            <w:tcW w:type="dxa" w:w="2161"/>
            <w:vAlign w:val="center"/>
          </w:tcPr>
          <w:p>
            <w:r/>
            <w:r>
              <w:rPr>
                <w:rFonts w:ascii="宋体" w:hAnsi="宋体" w:eastAsia="宋体"/>
                <w:b w:val="0"/>
                <w:sz w:val="21"/>
              </w:rPr>
              <w:t>用于维持 Pareto 分布性</w:t>
            </w:r>
          </w:p>
        </w:tc>
      </w:tr>
      <w:tr>
        <w:tc>
          <w:tcPr>
            <w:tcW w:type="dxa" w:w="2161"/>
            <w:vAlign w:val="center"/>
          </w:tcPr>
          <w:p>
            <w:r/>
            <w:r>
              <w:rPr>
                <w:rFonts w:ascii="宋体" w:hAnsi="宋体" w:eastAsia="宋体"/>
                <w:b w:val="0"/>
                <w:sz w:val="21"/>
              </w:rPr>
              <w:t>遗传操作</w:t>
            </w:r>
          </w:p>
        </w:tc>
        <w:tc>
          <w:tcPr>
            <w:tcW w:type="dxa" w:w="2161"/>
            <w:vAlign w:val="center"/>
          </w:tcPr>
          <w:p>
            <w:r/>
            <w:r>
              <w:rPr>
                <w:rFonts w:ascii="宋体" w:hAnsi="宋体" w:eastAsia="宋体"/>
                <w:b w:val="0"/>
                <w:sz w:val="21"/>
              </w:rPr>
              <w:t>选择、交叉、变异和修复</w:t>
            </w:r>
          </w:p>
        </w:tc>
        <w:tc>
          <w:tcPr>
            <w:tcW w:type="dxa" w:w="2161"/>
            <w:vAlign w:val="center"/>
          </w:tcPr>
          <w:p>
            <w:r/>
            <w:r>
              <w:rPr>
                <w:rFonts w:ascii="宋体" w:hAnsi="宋体" w:eastAsia="宋体"/>
                <w:b w:val="0"/>
                <w:sz w:val="21"/>
              </w:rPr>
              <w:t>O(NL)</w:t>
            </w:r>
          </w:p>
        </w:tc>
        <w:tc>
          <w:tcPr>
            <w:tcW w:type="dxa" w:w="2161"/>
            <w:vAlign w:val="center"/>
          </w:tcPr>
          <w:p>
            <w:r/>
            <w:r>
              <w:rPr>
                <w:rFonts w:ascii="宋体" w:hAnsi="宋体" w:eastAsia="宋体"/>
                <w:b w:val="0"/>
                <w:sz w:val="21"/>
              </w:rPr>
              <w:t>与编码长度相关</w:t>
            </w:r>
          </w:p>
        </w:tc>
      </w:tr>
      <w:tr>
        <w:tc>
          <w:tcPr>
            <w:tcW w:type="dxa" w:w="2161"/>
            <w:vAlign w:val="center"/>
          </w:tcPr>
          <w:p>
            <w:r/>
            <w:r>
              <w:rPr>
                <w:rFonts w:ascii="宋体" w:hAnsi="宋体" w:eastAsia="宋体"/>
                <w:b w:val="0"/>
                <w:sz w:val="21"/>
              </w:rPr>
              <w:t>Q-learning</w:t>
            </w:r>
          </w:p>
        </w:tc>
        <w:tc>
          <w:tcPr>
            <w:tcW w:type="dxa" w:w="2161"/>
            <w:vAlign w:val="center"/>
          </w:tcPr>
          <w:p>
            <w:r/>
            <w:r>
              <w:rPr>
                <w:rFonts w:ascii="宋体" w:hAnsi="宋体" w:eastAsia="宋体"/>
                <w:b w:val="0"/>
                <w:sz w:val="21"/>
              </w:rPr>
              <w:t>状态构造、动作选择和 Q 值更新</w:t>
            </w:r>
          </w:p>
        </w:tc>
        <w:tc>
          <w:tcPr>
            <w:tcW w:type="dxa" w:w="2161"/>
            <w:vAlign w:val="center"/>
          </w:tcPr>
          <w:p>
            <w:r/>
            <w:r>
              <w:rPr>
                <w:rFonts w:ascii="宋体" w:hAnsi="宋体" w:eastAsia="宋体"/>
                <w:b w:val="0"/>
                <w:sz w:val="21"/>
              </w:rPr>
              <w:t>O(N)+O(1)</w:t>
            </w:r>
          </w:p>
        </w:tc>
        <w:tc>
          <w:tcPr>
            <w:tcW w:type="dxa" w:w="2161"/>
            <w:vAlign w:val="center"/>
          </w:tcPr>
          <w:p>
            <w:r/>
            <w:r>
              <w:rPr>
                <w:rFonts w:ascii="宋体" w:hAnsi="宋体" w:eastAsia="宋体"/>
                <w:b w:val="0"/>
                <w:sz w:val="21"/>
              </w:rPr>
              <w:t>动作集合固定，开销较低</w:t>
            </w:r>
          </w:p>
        </w:tc>
      </w:tr>
      <w:tr>
        <w:tc>
          <w:tcPr>
            <w:tcW w:type="dxa" w:w="2161"/>
            <w:vAlign w:val="center"/>
          </w:tcPr>
          <w:p>
            <w:r/>
            <w:r>
              <w:rPr>
                <w:rFonts w:ascii="宋体" w:hAnsi="宋体" w:eastAsia="宋体"/>
                <w:b w:val="0"/>
                <w:sz w:val="21"/>
              </w:rPr>
              <w:t>外部档案</w:t>
            </w:r>
          </w:p>
        </w:tc>
        <w:tc>
          <w:tcPr>
            <w:tcW w:type="dxa" w:w="2161"/>
            <w:vAlign w:val="center"/>
          </w:tcPr>
          <w:p>
            <w:r/>
            <w:r>
              <w:rPr>
                <w:rFonts w:ascii="宋体" w:hAnsi="宋体" w:eastAsia="宋体"/>
                <w:b w:val="0"/>
                <w:sz w:val="21"/>
              </w:rPr>
              <w:t>非支配筛选和拥挤距离截断</w:t>
            </w:r>
          </w:p>
        </w:tc>
        <w:tc>
          <w:tcPr>
            <w:tcW w:type="dxa" w:w="2161"/>
            <w:vAlign w:val="center"/>
          </w:tcPr>
          <w:p>
            <w:r/>
            <w:r>
              <w:rPr>
                <w:rFonts w:ascii="宋体" w:hAnsi="宋体" w:eastAsia="宋体"/>
                <w:b w:val="0"/>
                <w:sz w:val="21"/>
              </w:rPr>
              <w:t>O(M(N+A)^2)</w:t>
            </w:r>
          </w:p>
        </w:tc>
        <w:tc>
          <w:tcPr>
            <w:tcW w:type="dxa" w:w="2161"/>
            <w:vAlign w:val="center"/>
          </w:tcPr>
          <w:p>
            <w:r/>
            <w:r>
              <w:rPr>
                <w:rFonts w:ascii="宋体" w:hAnsi="宋体" w:eastAsia="宋体"/>
                <w:b w:val="0"/>
                <w:sz w:val="21"/>
              </w:rPr>
              <w:t>与档案容量和候选解数量相关</w:t>
            </w:r>
          </w:p>
        </w:tc>
      </w:tr>
      <w:tr>
        <w:tc>
          <w:tcPr>
            <w:tcW w:type="dxa" w:w="2161"/>
            <w:vAlign w:val="center"/>
          </w:tcPr>
          <w:p>
            <w:r/>
            <w:r>
              <w:rPr>
                <w:rFonts w:ascii="宋体" w:hAnsi="宋体" w:eastAsia="宋体"/>
                <w:b w:val="0"/>
                <w:sz w:val="21"/>
              </w:rPr>
              <w:t>VNS</w:t>
            </w:r>
          </w:p>
        </w:tc>
        <w:tc>
          <w:tcPr>
            <w:tcW w:type="dxa" w:w="2161"/>
            <w:vAlign w:val="center"/>
          </w:tcPr>
          <w:p>
            <w:r/>
            <w:r>
              <w:rPr>
                <w:rFonts w:ascii="宋体" w:hAnsi="宋体" w:eastAsia="宋体"/>
                <w:b w:val="0"/>
                <w:sz w:val="21"/>
              </w:rPr>
              <w:t>精英解多邻域局部搜索</w:t>
            </w:r>
          </w:p>
        </w:tc>
        <w:tc>
          <w:tcPr>
            <w:tcW w:type="dxa" w:w="2161"/>
            <w:vAlign w:val="center"/>
          </w:tcPr>
          <w:p>
            <w:r/>
            <w:r>
              <w:rPr>
                <w:rFonts w:ascii="宋体" w:hAnsi="宋体" w:eastAsia="宋体"/>
                <w:b w:val="0"/>
                <w:sz w:val="21"/>
              </w:rPr>
              <w:t>O(EKvTvL)</w:t>
            </w:r>
          </w:p>
        </w:tc>
        <w:tc>
          <w:tcPr>
            <w:tcW w:type="dxa" w:w="2161"/>
            <w:vAlign w:val="center"/>
          </w:tcPr>
          <w:p>
            <w:r/>
            <w:r>
              <w:rPr>
                <w:rFonts w:ascii="宋体" w:hAnsi="宋体" w:eastAsia="宋体"/>
                <w:b w:val="0"/>
                <w:sz w:val="21"/>
              </w:rPr>
              <w:t>仅在触发条件满足时执行</w:t>
            </w:r>
          </w:p>
        </w:tc>
      </w:tr>
      <w:tr>
        <w:tc>
          <w:tcPr>
            <w:tcW w:type="dxa" w:w="2161"/>
            <w:vAlign w:val="center"/>
          </w:tcPr>
          <w:p>
            <w:r/>
            <w:r>
              <w:rPr>
                <w:rFonts w:ascii="宋体" w:hAnsi="宋体" w:eastAsia="宋体"/>
                <w:b w:val="0"/>
                <w:sz w:val="21"/>
              </w:rPr>
              <w:t>safeguard</w:t>
            </w:r>
          </w:p>
        </w:tc>
        <w:tc>
          <w:tcPr>
            <w:tcW w:type="dxa" w:w="2161"/>
            <w:vAlign w:val="center"/>
          </w:tcPr>
          <w:p>
            <w:r/>
            <w:r>
              <w:rPr>
                <w:rFonts w:ascii="宋体" w:hAnsi="宋体" w:eastAsia="宋体"/>
                <w:b w:val="0"/>
                <w:sz w:val="21"/>
              </w:rPr>
              <w:t>奖励判断和回滚</w:t>
            </w:r>
          </w:p>
        </w:tc>
        <w:tc>
          <w:tcPr>
            <w:tcW w:type="dxa" w:w="2161"/>
            <w:vAlign w:val="center"/>
          </w:tcPr>
          <w:p>
            <w:r/>
            <w:r>
              <w:rPr>
                <w:rFonts w:ascii="宋体" w:hAnsi="宋体" w:eastAsia="宋体"/>
                <w:b w:val="0"/>
                <w:sz w:val="21"/>
              </w:rPr>
              <w:t>O(NL+AL)</w:t>
            </w:r>
          </w:p>
        </w:tc>
        <w:tc>
          <w:tcPr>
            <w:tcW w:type="dxa" w:w="2161"/>
            <w:vAlign w:val="center"/>
          </w:tcPr>
          <w:p>
            <w:r/>
            <w:r>
              <w:rPr>
                <w:rFonts w:ascii="宋体" w:hAnsi="宋体" w:eastAsia="宋体"/>
                <w:b w:val="0"/>
                <w:sz w:val="21"/>
              </w:rPr>
              <w:t>需保存种群和档案副本</w:t>
            </w:r>
          </w:p>
        </w:tc>
      </w:tr>
    </w:tbl>
    <w:p/>
    <w:p>
      <w:pPr>
        <w:spacing w:line="360" w:lineRule="auto"/>
        <w:ind w:firstLine="420"/>
      </w:pPr>
      <w:r>
        <w:rPr>
          <w:rFonts w:ascii="宋体" w:hAnsi="宋体" w:eastAsia="宋体"/>
          <w:sz w:val="24"/>
        </w:rPr>
        <w:t>综上，QVNS-NSGA-II 在标准 NSGA-II 的基础上增加了 Q-learning、VNS、外部档案和 safeguard 模块，虽然引入了一定额外计算开销，但这些开销主要发生在档案更新和停滞阶段局部搜索中。通过自适应触发 VNS 和对 Q-learning 动作设置保护回滚，算法能够在控制计算成本的同时提升 Pareto 解集质量与搜索稳定性，适合用于本文地铁物流中转站布局优化模型的求解。</w:t>
      </w:r>
    </w:p>
    <w:p>
      <w:pPr>
        <w:pStyle w:val="Heading2"/>
        <w:spacing w:line="360" w:lineRule="auto"/>
      </w:pPr>
      <w:r>
        <w:rPr>
          <w:rFonts w:ascii="宋体" w:hAnsi="宋体" w:eastAsia="宋体"/>
          <w:sz w:val="24"/>
        </w:rPr>
        <w:t>可视化内容融入说明</w:t>
      </w:r>
    </w:p>
    <w:p>
      <w:pPr>
        <w:spacing w:line="360" w:lineRule="auto"/>
        <w:ind w:firstLine="420"/>
      </w:pPr>
      <w:r>
        <w:rPr>
          <w:rFonts w:ascii="宋体" w:hAnsi="宋体" w:eastAsia="宋体"/>
          <w:sz w:val="24"/>
        </w:rPr>
        <w:t>为便于后续论文排版，本文档已将算法设计中适合图表化的内容转化为参数表、VNS 邻域结构表、复杂度分析表和算法伪代码。另生成的 draw.io 文件用于呈现 QVNS-NSGA-II 总体流程，图中以虚线框区分 Q-learning 和 VNS 两个增强模块，以数据库图形表示外部 Pareto 档案，并在输出端明确列出 Pareto 前沿、收敛曲线、Q 表、VNS 历史和折中方案。</w:t>
      </w:r>
    </w:p>
    <w:p>
      <w:pPr>
        <w:spacing w:line="360" w:lineRule="auto"/>
        <w:jc w:val="center"/>
      </w:pPr>
      <w:r>
        <w:rPr>
          <w:rFonts w:ascii="宋体" w:hAnsi="宋体" w:eastAsia="宋体"/>
          <w:sz w:val="24"/>
        </w:rPr>
        <w:t>图 4-x QVNS-NSGA-II 算法流程图见同目录文件“QVNS-NSGA-II 算法流程.drawio”，可导入 draw.io 或 diagrams.net 后导出为 SVG、PNG 或 PDF 插入论文正文。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