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249"/>
      <w:r>
        <w:rPr>
          <w:rFonts w:hint="eastAsia"/>
          <w:sz w:val="96"/>
          <w:szCs w:val="96"/>
        </w:rPr>
        <w:t>時間序列分析</w:t>
      </w:r>
      <w:bookmarkEnd w:id="0"/>
    </w:p>
    <w:p>
      <w:pPr>
        <w:widowControl/>
        <w:tabs>
          <w:tab w:val="left" w:pos="3466"/>
        </w:tabs>
        <w:jc w:val="center"/>
        <w:rPr>
          <w:rFonts w:hint="default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3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6-1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1" w:name="_Toc16300"/>
      <w:r>
        <w:rPr>
          <w:rFonts w:hint="eastAsia"/>
          <w:sz w:val="96"/>
          <w:szCs w:val="96"/>
          <w:lang w:val="en-US" w:eastAsia="zh-CN"/>
        </w:rPr>
        <w:t>刘传</w:t>
      </w:r>
      <w:bookmarkEnd w:id="1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sdtEndPr>
      <w:sdtContent>
        <w:p>
          <w:pPr>
            <w:pStyle w:val="19"/>
          </w:pPr>
          <w:r>
            <w:rPr>
              <w:lang w:val="zh-TW"/>
            </w:rPr>
            <w:t>內容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"_Toc85501156"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一、平穩性檢驗：</w:t>
          </w:r>
          <w:r>
            <w:tab/>
          </w:r>
          <w:r>
            <w:fldChar w:fldCharType="begin"/>
          </w:r>
          <w:r>
            <w:instrText xml:space="preserve"> PAGEREF _Toc85501156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"_Toc85501157"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二、純隨機性檢驗（</w:t>
          </w:r>
          <m:oMath>
            <m:r>
              <m:rPr>
                <m:sty m:val="b"/>
              </m:rPr>
              <w:rPr>
                <w:rStyle w:val="12"/>
                <w:rFonts w:ascii="Cambria Math" w:hAnsi="Cambria Math"/>
              </w:rPr>
              <m:t>α=0.05</m:t>
            </m:r>
          </m:oMath>
          <w:r>
            <w:rPr>
              <w:rStyle w:val="12"/>
              <w:rFonts w:hint="eastAsia"/>
              <w:b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_Toc85501157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"_Toc85501158"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三、確定合適的</w:t>
          </w:r>
          <w:r>
            <w:rPr>
              <w:rStyle w:val="12"/>
              <w:b/>
            </w:rPr>
            <w:t>ARMA</w:t>
          </w:r>
          <w:r>
            <w:rPr>
              <w:rStyle w:val="12"/>
              <w:rFonts w:hint="eastAsia"/>
              <w:b/>
            </w:rPr>
            <w:t>模型：</w:t>
          </w:r>
          <w:r>
            <w:tab/>
          </w:r>
          <w:r>
            <w:fldChar w:fldCharType="begin"/>
          </w:r>
          <w:r>
            <w:instrText xml:space="preserve"> PAGEREF _Toc85501158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"_Toc85501159"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四、參數估計，擬合模型的口徑：</w:t>
          </w:r>
          <w:r>
            <w:tab/>
          </w:r>
          <w:r>
            <w:fldChar w:fldCharType="begin"/>
          </w:r>
          <w:r>
            <w:instrText xml:space="preserve"> PAGEREF _Toc85501159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"_Toc85501160"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五、模型顯著性檢驗：</w:t>
          </w:r>
          <w:r>
            <w:tab/>
          </w:r>
          <w:r>
            <w:fldChar w:fldCharType="begin"/>
          </w:r>
          <w:r>
            <w:instrText xml:space="preserve"> PAGEREF _Toc85501160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"_Toc85501161"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六、參數顯著性檢驗：</w:t>
          </w:r>
          <w:r>
            <w:tab/>
          </w:r>
          <w:r>
            <w:fldChar w:fldCharType="begin"/>
          </w:r>
          <w:r>
            <w:instrText xml:space="preserve"> PAGEREF _Toc85501161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"_Toc85501162" </w:instrText>
          </w:r>
          <w:r>
            <w:fldChar w:fldCharType="separate"/>
          </w:r>
          <w:r>
            <w:rPr>
              <w:rStyle w:val="12"/>
              <w:rFonts w:hint="eastAsia"/>
              <w:b/>
            </w:rPr>
            <w:t>七、模型優化：</w:t>
          </w:r>
          <w:r>
            <w:tab/>
          </w:r>
          <w:r>
            <w:fldChar w:fldCharType="begin"/>
          </w:r>
          <w:r>
            <w:instrText xml:space="preserve"> PAGEREF _Toc85501162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"_Toc85501163" </w:instrText>
          </w:r>
          <w:r>
            <w:fldChar w:fldCharType="separate"/>
          </w:r>
          <w:r>
            <w:rPr>
              <w:rStyle w:val="12"/>
              <w:rFonts w:hint="eastAsia"/>
              <w:b/>
              <w:bCs/>
            </w:rPr>
            <w:t>利用</w:t>
          </w:r>
          <w:r>
            <w:rPr>
              <w:rStyle w:val="12"/>
              <w:b/>
              <w:bCs/>
            </w:rPr>
            <w:t>ARMA(1,0)</w:t>
          </w:r>
          <w:r>
            <w:rPr>
              <w:rStyle w:val="12"/>
              <w:rFonts w:hint="eastAsia"/>
              <w:b/>
              <w:bCs/>
            </w:rPr>
            <w:t>擬合的結果如下：</w:t>
          </w:r>
          <w:r>
            <w:tab/>
          </w:r>
          <w:r>
            <w:fldChar w:fldCharType="begin"/>
          </w:r>
          <w:r>
            <w:instrText xml:space="preserve"> PAGEREF _Toc85501163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"_Toc85501164" </w:instrText>
          </w:r>
          <w:r>
            <w:fldChar w:fldCharType="separate"/>
          </w:r>
          <w:r>
            <w:rPr>
              <w:rStyle w:val="12"/>
              <w:rFonts w:hint="eastAsia"/>
              <w:b/>
              <w:bCs/>
            </w:rPr>
            <w:t>模型顯著性：</w:t>
          </w:r>
          <w:r>
            <w:tab/>
          </w:r>
          <w:r>
            <w:fldChar w:fldCharType="begin"/>
          </w:r>
          <w:r>
            <w:instrText xml:space="preserve"> PAGEREF _Toc85501164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"_Toc85501165" </w:instrText>
          </w:r>
          <w:r>
            <w:fldChar w:fldCharType="separate"/>
          </w:r>
          <w:r>
            <w:rPr>
              <w:rStyle w:val="12"/>
              <w:rFonts w:hint="eastAsia"/>
              <w:b/>
              <w:bCs/>
            </w:rPr>
            <w:t>參數顯著性：</w:t>
          </w:r>
          <w:r>
            <w:tab/>
          </w:r>
          <w:r>
            <w:fldChar w:fldCharType="begin"/>
          </w:r>
          <w:r>
            <w:instrText xml:space="preserve"> PAGEREF _Toc85501165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br w:type="page"/>
      </w:r>
    </w:p>
    <w:p>
      <w:pPr>
        <w:pStyle w:val="21"/>
        <w:rPr>
          <w:b/>
        </w:rPr>
      </w:pPr>
      <w:bookmarkStart w:id="2" w:name="_Toc85501156"/>
      <w:r>
        <w:rPr>
          <w:rFonts w:hint="eastAsia"/>
          <w:b/>
        </w:rPr>
        <w:t>一、平穩性檢驗：</w:t>
      </w:r>
      <w:bookmarkEnd w:id="2"/>
    </w:p>
    <w:p>
      <w:r>
        <w:rPr>
          <w:rFonts w:hint="eastAsia"/>
        </w:rPr>
        <w:t>從時序圖可見，比較平穏。</w:t>
      </w:r>
    </w:p>
    <w:p>
      <w:r>
        <w:rPr>
          <w:rFonts w:hint="eastAsia"/>
        </w:rPr>
        <w:t>自相關圖2階後截尾，快速減到0，在0附近波動，平穩。</w:t>
      </w:r>
    </w:p>
    <w:p>
      <w:r>
        <w:drawing>
          <wp:inline distT="0" distB="0" distL="114300" distR="114300">
            <wp:extent cx="5234940" cy="429006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3" w:name="_Toc85501157"/>
      <w:r>
        <w:rPr>
          <w:rFonts w:hint="eastAsia"/>
          <w:b/>
        </w:rPr>
        <w:t>二、純隨機性檢驗（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>
        <w:rPr>
          <w:rFonts w:hint="eastAsia"/>
          <w:b/>
        </w:rPr>
        <w:t>）：</w:t>
      </w:r>
      <w:bookmarkEnd w:id="3"/>
    </w:p>
    <w:tbl>
      <w:tblPr>
        <w:tblStyle w:val="10"/>
        <w:tblpPr w:leftFromText="180" w:rightFromText="180" w:vertAnchor="text" w:horzAnchor="page" w:tblpXSpec="center" w:tblpY="102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368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restart"/>
            <w:vAlign w:val="top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  <w:vAlign w:val="top"/>
          </w:tcPr>
          <w:p>
            <w:r>
              <w:rPr>
                <w:rFonts w:hint="eastAsia"/>
              </w:rPr>
              <w:t>LB統計量檢驗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Merge w:val="continue"/>
          </w:tcPr>
          <w:p/>
        </w:tc>
        <w:tc>
          <w:tcPr>
            <w:tcW w:w="2368" w:type="dxa"/>
          </w:tcPr>
          <w:p>
            <w:r>
              <w:rPr>
                <w:rFonts w:hint="eastAsia"/>
              </w:rPr>
              <w:t>LB檢驗統計量的值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13.28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0.0</w:t>
            </w:r>
            <w:r>
              <w:rPr>
                <w:rFonts w:hint="eastAsia" w:eastAsia="宋体"/>
                <w:lang w:val="en-US" w:eastAsia="zh-CN"/>
              </w:rPr>
              <w:t>38</w:t>
            </w:r>
          </w:p>
        </w:tc>
      </w:tr>
    </w:tbl>
    <w:p>
      <w:pPr>
        <w:jc w:val="left"/>
      </w:pPr>
      <w:r>
        <w:rPr>
          <w:rFonts w:hint="eastAsia" w:eastAsia="宋体"/>
          <w:lang w:val="en-US" w:eastAsia="zh-CN"/>
        </w:rPr>
        <w:t>在前6</w:t>
      </w:r>
      <w:r>
        <w:rPr>
          <w:rFonts w:hint="eastAsia"/>
        </w:rPr>
        <w:t>階延遲下，P值都非常小（&lt;0.</w:t>
      </w:r>
      <w:r>
        <w:rPr>
          <w:rFonts w:hint="eastAsia" w:eastAsia="宋体"/>
          <w:lang w:val="en-US" w:eastAsia="zh-CN"/>
        </w:rPr>
        <w:t>05</w:t>
      </w:r>
      <w:r>
        <w:rPr>
          <w:rFonts w:hint="eastAsia"/>
        </w:rPr>
        <w:t>），因此很大把握（置信水平&gt;99%）是非白噪聲序列。</w:t>
      </w:r>
      <w:r>
        <w:rPr/>
        <w:br w:type="textWrapping" w:clear="all"/>
      </w:r>
    </w:p>
    <w:p>
      <w:pPr>
        <w:jc w:val="center"/>
      </w:pPr>
      <w:r>
        <w:drawing>
          <wp:inline distT="0" distB="0" distL="114300" distR="114300">
            <wp:extent cx="2247900" cy="32537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由一、二可得，它是平穩非白噪聲序列。</w:t>
      </w:r>
    </w:p>
    <w:p>
      <w:pPr>
        <w:rPr>
          <w:b/>
          <w:color w:val="0070C0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4" w:name="_Toc85501158"/>
      <w:r>
        <w:rPr>
          <w:rFonts w:hint="eastAsia"/>
          <w:b/>
        </w:rPr>
        <w:t>三、確定合適的ARMA模型：</w:t>
      </w:r>
      <w:bookmarkEnd w:id="4"/>
    </w:p>
    <w:p>
      <w:r>
        <w:rPr>
          <w:rFonts w:hint="eastAsia"/>
        </w:rPr>
        <w:t>自相關圖2階截尾</w:t>
      </w:r>
    </w:p>
    <w:p>
      <w:r>
        <w:rPr>
          <w:rFonts w:hint="eastAsia"/>
        </w:rPr>
        <w:t>M</w:t>
      </w:r>
      <w:r>
        <w:t>A(2)</w:t>
      </w:r>
      <w:r>
        <w:rPr>
          <w:rFonts w:hint="eastAsia"/>
        </w:rPr>
        <w:t>，即A</w:t>
      </w:r>
      <w:r>
        <w:t>RMA(0,2)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</w:rPr>
                <m:t>i.i.d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~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)</m:t>
        </m:r>
      </m:oMath>
    </w:p>
    <w:p/>
    <w:p>
      <w:pPr>
        <w:pStyle w:val="21"/>
        <w:rPr>
          <w:b/>
        </w:rPr>
      </w:pPr>
      <w:bookmarkStart w:id="5" w:name="_Toc85501159"/>
      <w:r>
        <w:rPr>
          <w:rFonts w:hint="eastAsia"/>
          <w:b/>
        </w:rPr>
        <w:t>四、參數估計，擬合模型的口徑：</w:t>
      </w:r>
      <w:bookmarkEnd w:id="5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80.8990</m:t>
        </m:r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+0.2971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+0.</m:t>
        </m:r>
        <m:r>
          <m:rPr/>
          <w:rPr>
            <w:rFonts w:hint="default" w:ascii="Cambria Math" w:hAnsi="Cambria Math" w:eastAsia="宋体"/>
            <w:lang w:val="en-US" w:eastAsia="zh-CN"/>
          </w:rPr>
          <m:t>2989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467.551057</m:t>
        </m:r>
      </m:oMath>
      <w:r>
        <w:rPr>
          <w:rFonts w:hint="eastAsia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2271395</wp:posOffset>
                </wp:positionV>
                <wp:extent cx="744220" cy="839470"/>
                <wp:effectExtent l="28575" t="28575" r="34925" b="311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5" cy="8396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95pt;margin-top:178.85pt;height:66.1pt;width:58.6pt;z-index:251659264;v-text-anchor:middle;mso-width-relative:page;mso-height-relative:page;" filled="f" stroked="t" coordsize="21600,21600" o:gfxdata="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nP/69oAAAALAQAADwAAAAAAAAABACAAAAAiAAAAZHJzL2Rvd25y&#10;ZXYueG1sUEsBAhQAFAAAAAgAh07iQA8GVO5uAgAAywQAAA4AAAAAAAAAAQAgAAAAKQEAAGRycy9l&#10;Mm9Eb2MueG1sUEsFBgAAAAAGAAYAWQEAAAkGAAAAAA=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4452620"/>
            <wp:effectExtent l="0" t="0" r="1460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6" w:name="_Toc85501160"/>
      <w:r>
        <w:rPr>
          <w:rFonts w:hint="eastAsia"/>
          <w:b/>
        </w:rPr>
        <w:t>五、模型顯著性檢驗：</w:t>
      </w:r>
      <w:bookmarkEnd w:id="6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pPr w:leftFromText="180" w:rightFromText="180" w:vertAnchor="text" w:horzAnchor="page" w:tblpXSpec="center" w:tblpY="763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1.37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2.08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11.23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0.</w:t>
            </w:r>
            <w:r>
              <w:t>90</w:t>
            </w:r>
          </w:p>
        </w:tc>
      </w:tr>
    </w:tbl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jc w:val="center"/>
        <w:rPr>
          <w:b w:val="0"/>
          <w:bCs/>
          <w:color w:val="FF0000"/>
          <w:sz w:val="28"/>
        </w:rPr>
      </w:pPr>
      <w:r>
        <w:drawing>
          <wp:inline distT="0" distB="0" distL="114300" distR="114300">
            <wp:extent cx="3893820" cy="52349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b/>
        </w:rPr>
      </w:pPr>
      <w:bookmarkStart w:id="7" w:name="_Toc85501161"/>
      <w:r>
        <w:rPr>
          <w:rFonts w:hint="eastAsia"/>
          <w:b/>
        </w:rPr>
        <w:t>六、參數顯著性檢驗：</w:t>
      </w:r>
      <w:bookmarkEnd w:id="7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18.762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2.345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 w:eastAsia="宋体"/>
                <w:lang w:val="en-US" w:eastAsia="zh-CN"/>
              </w:rPr>
              <w:t>19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 w:eastAsia="宋体"/>
                <w:lang w:val="en-US" w:eastAsia="zh-CN"/>
              </w:rPr>
              <w:t>632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 w:eastAsia="宋体"/>
                <w:lang w:val="en-US" w:eastAsia="zh-CN"/>
              </w:rPr>
              <w:t>08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/>
    <w:p/>
    <w:p>
      <w:pPr>
        <w:widowControl/>
        <w:jc w:val="center"/>
        <w:rPr>
          <w:rFonts w:asciiTheme="majorHAnsi" w:hAnsiTheme="majorHAnsi" w:eastAsiaTheme="majorEastAsia" w:cstheme="majorBidi"/>
          <w:b/>
          <w:bCs/>
          <w:color w:val="FF0000"/>
          <w:kern w:val="52"/>
          <w:sz w:val="28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1923415</wp:posOffset>
                </wp:positionV>
                <wp:extent cx="1499870" cy="1028700"/>
                <wp:effectExtent l="28575" t="28575" r="41275" b="400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1028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pt;margin-top:151.45pt;height:81pt;width:118.1pt;z-index:251660288;v-text-anchor:middle;mso-width-relative:page;mso-height-relative:page;" filled="f" stroked="t" coordsize="21600,21600" o:gfxdata="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BALYDZAAAACwEAAA8AAAAAAAAAAQAgAAAAIgAAAGRycy9kb3du&#10;cmV2LnhtbFBLAQIUABQAAAAIAIdO4kBsyDTZcAIAAM4EAAAOAAAAAAAAAAEAIAAAACgBAABkcnMv&#10;ZTJvRG9jLnhtbFBLBQYAAAAABgAGAFkBAAAKBgAAAAA=&#10;">
                <v:fill on="f" focussize="0,0"/>
                <v:stroke weight="4.5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319395" cy="4491990"/>
            <wp:effectExtent l="0" t="0" r="14605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>
      <w:pPr>
        <w:pStyle w:val="21"/>
        <w:rPr>
          <w:b/>
        </w:rPr>
      </w:pPr>
      <w:bookmarkStart w:id="8" w:name="_Toc85501162"/>
      <w:r>
        <w:rPr>
          <w:rFonts w:hint="eastAsia"/>
          <w:b/>
        </w:rPr>
        <w:t>七、模型優化：</w:t>
      </w:r>
      <w:bookmarkEnd w:id="8"/>
    </w:p>
    <w:p>
      <w:r>
        <w:rPr>
          <w:rFonts w:hint="eastAsia"/>
        </w:rPr>
        <w:t>M</w:t>
      </w:r>
      <w:r>
        <w:t>A(2)</w:t>
      </w:r>
      <w:r>
        <w:rPr>
          <w:rFonts w:hint="eastAsia"/>
        </w:rPr>
        <w:t>，即A</w:t>
      </w:r>
      <w:r>
        <w:t>RMA(0,2)</w:t>
      </w:r>
      <w:r>
        <w:rPr>
          <w:rFonts w:hint="eastAsia"/>
        </w:rPr>
        <w:t>是效擬合模型。P</w:t>
      </w:r>
      <w:r>
        <w:t>ACF</w:t>
      </w:r>
      <w:r>
        <w:rPr>
          <w:rFonts w:hint="eastAsia"/>
        </w:rPr>
        <w:t>一階截尾，可考察A</w:t>
      </w:r>
      <w:r>
        <w:t>RMA(1,0)</w:t>
      </w:r>
    </w:p>
    <w:p>
      <w:r>
        <w:drawing>
          <wp:inline distT="0" distB="0" distL="114300" distR="114300">
            <wp:extent cx="5265420" cy="2095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模型A</w:t>
      </w:r>
      <w:r>
        <w:t>RMA(0,2)</w:t>
      </w:r>
      <w:r>
        <w:rPr>
          <w:rFonts w:hint="eastAsia"/>
        </w:rPr>
        <w:t>的A</w:t>
      </w:r>
      <w:r>
        <w:t>IC</w:t>
      </w:r>
      <w:r>
        <w:rPr>
          <w:rFonts w:hint="eastAsia" w:eastAsia="宋体"/>
          <w:lang w:val="en-US" w:eastAsia="zh-CN"/>
        </w:rPr>
        <w:t>和HQIC均</w:t>
      </w:r>
      <w:r>
        <w:rPr>
          <w:rFonts w:hint="eastAsia"/>
        </w:rPr>
        <w:t>小</w:t>
      </w:r>
      <w:r>
        <w:rPr>
          <w:rFonts w:hint="eastAsia" w:eastAsia="宋体"/>
          <w:lang w:val="en-US" w:eastAsia="zh-CN"/>
        </w:rPr>
        <w:t>于</w:t>
      </w:r>
      <w:r>
        <w:rPr>
          <w:rFonts w:hint="eastAsia"/>
        </w:rPr>
        <w:t>A</w:t>
      </w:r>
      <w:r>
        <w:t>RMA(</w:t>
      </w:r>
      <w:r>
        <w:rPr>
          <w:rFonts w:hint="eastAsia" w:eastAsia="宋体"/>
          <w:lang w:val="en-US" w:eastAsia="zh-CN"/>
        </w:rPr>
        <w:t>1,0</w:t>
      </w:r>
      <w:r>
        <w:t>)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而BIC稍大于</w:t>
      </w:r>
      <w:r>
        <w:rPr>
          <w:rFonts w:hint="eastAsia"/>
        </w:rPr>
        <w:t>A</w:t>
      </w:r>
      <w:r>
        <w:t>RMA(</w:t>
      </w:r>
      <w:r>
        <w:rPr>
          <w:rFonts w:hint="eastAsia" w:eastAsia="宋体"/>
          <w:lang w:val="en-US" w:eastAsia="zh-CN"/>
        </w:rPr>
        <w:t>1,0</w:t>
      </w:r>
      <w:r>
        <w:t>)</w:t>
      </w:r>
      <w:r>
        <w:rPr>
          <w:rFonts w:hint="eastAsia"/>
        </w:rPr>
        <w:t>，因此A</w:t>
      </w:r>
      <w:r>
        <w:t>RMA(1,0)</w:t>
      </w:r>
      <w:r>
        <w:rPr>
          <w:rFonts w:hint="eastAsia" w:eastAsia="宋体"/>
          <w:lang w:val="en-US" w:eastAsia="zh-CN"/>
        </w:rPr>
        <w:t>优于</w:t>
      </w:r>
      <w:r>
        <w:rPr>
          <w:rFonts w:hint="eastAsia"/>
        </w:rPr>
        <w:t>A</w:t>
      </w:r>
      <w:r>
        <w:t>RMA(0,2)</w:t>
      </w:r>
    </w:p>
    <w:p/>
    <w:p>
      <w:pPr>
        <w:pStyle w:val="22"/>
        <w:jc w:val="center"/>
      </w:pPr>
      <w:bookmarkStart w:id="9" w:name="_Toc85501163"/>
      <w:r>
        <w:drawing>
          <wp:inline distT="0" distB="0" distL="114300" distR="114300">
            <wp:extent cx="3352800" cy="78486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default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ARMA(0,2)</w:t>
      </w:r>
    </w:p>
    <w:p>
      <w:pPr>
        <w:pStyle w:val="22"/>
        <w:jc w:val="center"/>
      </w:pPr>
      <w:r>
        <w:drawing>
          <wp:inline distT="0" distB="0" distL="114300" distR="114300">
            <wp:extent cx="3406140" cy="78486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hint="eastAsia"/>
          <w:b/>
          <w:bCs/>
        </w:rPr>
      </w:pP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ARMA(1,0)</w:t>
      </w:r>
    </w:p>
    <w:p>
      <w:pPr>
        <w:pStyle w:val="22"/>
        <w:rPr>
          <w:b/>
          <w:bCs/>
        </w:rPr>
      </w:pPr>
      <w:r>
        <w:rPr>
          <w:rFonts w:hint="eastAsia"/>
          <w:b/>
          <w:bCs/>
        </w:rPr>
        <w:t>利用A</w:t>
      </w:r>
      <w:r>
        <w:rPr>
          <w:b/>
          <w:bCs/>
        </w:rPr>
        <w:t>RMA(1,0)</w:t>
      </w:r>
      <w:r>
        <w:rPr>
          <w:rFonts w:hint="eastAsia"/>
          <w:b/>
          <w:bCs/>
        </w:rPr>
        <w:t>擬合的結果如下：</w:t>
      </w:r>
      <w:bookmarkEnd w:id="9"/>
    </w:p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80.8792</m:t>
        </m:r>
        <m:r>
          <m:rPr/>
          <w:rPr>
            <w:rFonts w:hint="eastAsia" w:ascii="Cambria Math" w:hAnsi="Cambria Math" w:eastAsia="宋体"/>
            <w:lang w:val="en-US" w:eastAsia="zh-CN"/>
          </w:rPr>
          <m:t>+</m:t>
        </m:r>
        <m:r>
          <m:rPr/>
          <w:rPr>
            <w:rFonts w:hint="default" w:ascii="Cambria Math" w:hAnsi="Cambria Math" w:eastAsia="宋体"/>
            <w:lang w:val="en-US" w:eastAsia="zh-CN"/>
          </w:rPr>
          <m:t>0.3302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t−1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ϵ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496.760485</m:t>
        </m:r>
      </m:oMath>
      <w:r>
        <w:rPr>
          <w:rFonts w:hint="eastAsia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072890" cy="3180080"/>
            <wp:effectExtent l="0" t="0" r="11430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2"/>
        <w:rPr>
          <w:b/>
          <w:bCs/>
        </w:rPr>
      </w:pPr>
      <w:bookmarkStart w:id="10" w:name="_Toc85501164"/>
      <w:r>
        <w:rPr>
          <w:rFonts w:hint="eastAsia"/>
          <w:b/>
          <w:bCs/>
        </w:rPr>
        <w:t>模型顯著性：</w:t>
      </w:r>
      <w:bookmarkEnd w:id="10"/>
    </w:p>
    <w:p>
      <w:r>
        <w:rPr>
          <w:rFonts w:hint="eastAsia"/>
        </w:rPr>
        <w:t>殘差序列各階數延遲下LB統計量P值均顯著大於0.05，可認為此模型擬合殘差序列屬於白噪聲序列，即擬合模型顯著有效。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888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延遲階數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LB統計量的值</w:t>
            </w:r>
          </w:p>
        </w:tc>
        <w:tc>
          <w:tcPr>
            <w:tcW w:w="822" w:type="dxa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6.49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7.31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19.80</w:t>
            </w:r>
          </w:p>
        </w:tc>
        <w:tc>
          <w:tcPr>
            <w:tcW w:w="8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34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2349500" cy="3261360"/>
            <wp:effectExtent l="0" t="0" r="1270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>
      <w:pPr>
        <w:pStyle w:val="22"/>
        <w:rPr>
          <w:b/>
          <w:bCs/>
        </w:rPr>
      </w:pPr>
      <w:bookmarkStart w:id="11" w:name="_Toc85501165"/>
      <w:r>
        <w:rPr>
          <w:rFonts w:hint="eastAsia"/>
          <w:b/>
          <w:bCs/>
        </w:rPr>
        <w:t>參數顯著性：</w:t>
      </w:r>
      <w:bookmarkEnd w:id="11"/>
    </w:p>
    <w:p>
      <w:r>
        <w:rPr>
          <w:rFonts w:hint="eastAsia"/>
        </w:rPr>
        <w:t>均值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19.385</w:t>
            </w:r>
          </w:p>
        </w:tc>
        <w:tc>
          <w:tcPr>
            <w:tcW w:w="1185" w:type="dxa"/>
          </w:tcPr>
          <w:p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257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估計方法</w:t>
            </w:r>
          </w:p>
        </w:tc>
        <w:tc>
          <w:tcPr>
            <w:tcW w:w="1257" w:type="dxa"/>
          </w:tcPr>
          <w:p>
            <w:r>
              <w:rPr>
                <w:rFonts w:hint="eastAsia"/>
              </w:rPr>
              <w:t>t統計量</w:t>
            </w:r>
          </w:p>
        </w:tc>
        <w:tc>
          <w:tcPr>
            <w:tcW w:w="1185" w:type="dxa"/>
            <w:vAlign w:val="top"/>
          </w:tcPr>
          <w:p>
            <w:r>
              <w:rPr>
                <w:rFonts w:hint="eastAsia"/>
              </w:rPr>
              <w:t>P值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6" w:type="dxa"/>
          </w:tcPr>
          <w:p>
            <w:r>
              <w:rPr>
                <w:rFonts w:hint="eastAsia"/>
              </w:rPr>
              <w:t>極大似然</w:t>
            </w:r>
          </w:p>
        </w:tc>
        <w:tc>
          <w:tcPr>
            <w:tcW w:w="125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2.670</w:t>
            </w:r>
          </w:p>
        </w:tc>
        <w:tc>
          <w:tcPr>
            <w:tcW w:w="11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0.008</w:t>
            </w:r>
          </w:p>
        </w:tc>
      </w:tr>
    </w:tbl>
    <w:p>
      <w:r>
        <w:rPr>
          <w:rFonts w:hint="eastAsia"/>
        </w:rPr>
        <w:t>P值均小於0</w:t>
      </w:r>
      <w:r>
        <w:t>.05</w:t>
      </w:r>
      <w:r>
        <w:rPr>
          <w:rFonts w:hint="eastAsia"/>
        </w:rPr>
        <w:t>，參數檢驗均顯著。</w:t>
      </w:r>
    </w:p>
    <w:p/>
    <w:p>
      <w:pPr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3-6-1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4877487"/>
    <w:rsid w:val="05451806"/>
    <w:rsid w:val="0B996194"/>
    <w:rsid w:val="0DA25D23"/>
    <w:rsid w:val="0FCC1321"/>
    <w:rsid w:val="13E67ECE"/>
    <w:rsid w:val="15765D26"/>
    <w:rsid w:val="166A608E"/>
    <w:rsid w:val="1A91503E"/>
    <w:rsid w:val="1C406F41"/>
    <w:rsid w:val="1D794DAD"/>
    <w:rsid w:val="22EE5629"/>
    <w:rsid w:val="247D42CC"/>
    <w:rsid w:val="2C19181F"/>
    <w:rsid w:val="30AA4E55"/>
    <w:rsid w:val="30E12852"/>
    <w:rsid w:val="319013B1"/>
    <w:rsid w:val="31EE3130"/>
    <w:rsid w:val="323A5033"/>
    <w:rsid w:val="391D4E38"/>
    <w:rsid w:val="3B2D0F4A"/>
    <w:rsid w:val="3ECC2994"/>
    <w:rsid w:val="40345DE3"/>
    <w:rsid w:val="45485572"/>
    <w:rsid w:val="47F53037"/>
    <w:rsid w:val="4A403BB4"/>
    <w:rsid w:val="4ECA2591"/>
    <w:rsid w:val="582A7489"/>
    <w:rsid w:val="59961076"/>
    <w:rsid w:val="5B4A48C6"/>
    <w:rsid w:val="5E247F0D"/>
    <w:rsid w:val="5F741B27"/>
    <w:rsid w:val="64FC7C6E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樣式1"/>
    <w:basedOn w:val="2"/>
    <w:qFormat/>
    <w:uiPriority w:val="0"/>
    <w:rPr>
      <w:b w:val="0"/>
      <w:color w:val="FF0000"/>
      <w:sz w:val="28"/>
    </w:rPr>
  </w:style>
  <w:style w:type="paragraph" w:customStyle="1" w:styleId="22">
    <w:name w:val="樣式2"/>
    <w:basedOn w:val="3"/>
    <w:qFormat/>
    <w:uiPriority w:val="0"/>
    <w:rPr>
      <w:b w:val="0"/>
      <w:bCs w:val="0"/>
      <w:color w:val="00B0F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748</Words>
  <Characters>1055</Characters>
  <Lines>4</Lines>
  <Paragraphs>1</Paragraphs>
  <TotalTime>6</TotalTime>
  <ScaleCrop>false</ScaleCrop>
  <LinksUpToDate>false</LinksUpToDate>
  <CharactersWithSpaces>1095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2022-10-24T12:45:55Z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561A1D0CB181480DA0A26912C69D4FC1</vt:lpwstr>
  </property>
</Properties>
</file>