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B07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北京互联网法院</w:t>
      </w:r>
    </w:p>
    <w:p>
      <w:r>
        <w:t>天平链</w:t>
      </w:r>
    </w:p>
    <w:p>
      <w:r>
        <w:t>https://tpl.bjinternetcourt.gov.cn/tpl/</w:t>
      </w:r>
    </w:p>
    <w:p>
      <w:pPr>
        <w:pStyle w:val="Heading2"/>
      </w:pPr>
      <w:r>
        <w:t>[2] 最高人民法院</w:t>
      </w:r>
    </w:p>
    <w:p>
      <w:r>
        <w:t>“互联网+审判智慧”的北京方案——北京互联网法院成立一周年工作纪实</w:t>
      </w:r>
    </w:p>
    <w:p>
      <w:r>
        <w:t>https://www.court.gov.cn/zixun/xiangqing/182972.html</w:t>
      </w:r>
    </w:p>
    <w:p>
      <w:pPr>
        <w:pStyle w:val="Heading2"/>
      </w:pPr>
      <w:r>
        <w:t>[3] 中央网信办</w:t>
      </w:r>
    </w:p>
    <w:p>
      <w:r>
        <w:t>北京互联网法院：创建电子证据平台天平链</w:t>
      </w:r>
    </w:p>
    <w:p>
      <w:r>
        <w:t>https://www.cac.gov.cn/2019-01/02/c_1123935296.htm</w:t>
      </w:r>
    </w:p>
    <w:p>
      <w:pPr>
        <w:pStyle w:val="Heading2"/>
      </w:pPr>
      <w:r>
        <w:t>[4] 北京市知识产权局</w:t>
      </w:r>
    </w:p>
    <w:p>
      <w:r>
        <w:t>数据知识产权登记系统与“天平链”“北数链”贯通</w:t>
      </w:r>
    </w:p>
    <w:p>
      <w:r>
        <w:t>https://zscqj.beijing.gov.cn/zscqj/zwgk/xwdt/543352876/index.html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