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B07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电子证据怎样留下可核验的时间线——北京互联网法院“天平链”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基础认知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15–25分钟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网页截图、电子合同等数据进入诉讼后，怎样证明它在提交前没有被悄悄改过？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用一张图表示“业务平台—存证平台—司法/公证节点—法院”之间的数据关系。</w:t>
      </w:r>
    </w:p>
    <w:p>
      <w:r>
        <w:t>2. 解释哈希值在电子证据存证中能够发现什么，不能证明什么。</w:t>
      </w:r>
    </w:p>
    <w:p>
      <w:r>
        <w:t>3. 为什么单一业务平台自己声明“数据没有改过”说服力有限？</w:t>
      </w:r>
    </w:p>
    <w:p>
      <w:r>
        <w:t>4. 判断：一份文件已经上链，是否就意味着法院必须认定其中内容真实？说明理由。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电子数据易修改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哈希与时间戳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提交主体难确认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身份认证/签名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单一平台自证不足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法院、公证等多节点共同见证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诉讼时核验成本高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链上证据快速验证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