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B08 学生任务单</w:t>
      </w:r>
    </w:p>
    <w:tbl>
      <w:tblPr>
        <w:tblStyle w:val="TableGrid"/>
        <w:tblW w:type="auto" w:w="0"/>
        <w:jc w:val="center"/>
        <w:tblLook w:firstColumn="1" w:firstRow="1" w:lastColumn="0" w:lastRow="0" w:noHBand="0" w:noVBand="1" w:val="04A0"/>
      </w:tblPr>
      <w:tblGrid>
        <w:gridCol w:w="4816"/>
        <w:gridCol w:w="4816"/>
      </w:tblGrid>
      <w:tr>
        <w:tc>
          <w:tcPr>
            <w:tcW w:type="dxa" w:w="4816"/>
          </w:tcPr>
          <w:p>
            <w:r>
              <w:rPr>
                <w:b/>
              </w:rPr>
              <w:t>案例名称</w:t>
            </w:r>
          </w:p>
        </w:tc>
        <w:tc>
          <w:tcPr>
            <w:tcW w:type="dxa" w:w="4816"/>
          </w:tcPr>
          <w:p>
            <w:r>
              <w:t>条件满足以后，程序能否自动触发下一步——北京互联网法院智能合约“一键立案”</w:t>
            </w:r>
          </w:p>
        </w:tc>
      </w:tr>
      <w:tr>
        <w:tc>
          <w:tcPr>
            <w:tcW w:type="dxa" w:w="4816"/>
          </w:tcPr>
          <w:p>
            <w:r>
              <w:rPr>
                <w:b/>
              </w:rPr>
              <w:t>案例层次</w:t>
            </w:r>
          </w:p>
        </w:tc>
        <w:tc>
          <w:tcPr>
            <w:tcW w:type="dxa" w:w="4816"/>
          </w:tcPr>
          <w:p>
            <w:r>
              <w:t>基础认知</w:t>
            </w:r>
          </w:p>
        </w:tc>
      </w:tr>
      <w:tr>
        <w:tc>
          <w:tcPr>
            <w:tcW w:type="dxa" w:w="4816"/>
          </w:tcPr>
          <w:p>
            <w:r>
              <w:rPr>
                <w:b/>
              </w:rPr>
              <w:t>建议时间</w:t>
            </w:r>
          </w:p>
        </w:tc>
        <w:tc>
          <w:tcPr>
            <w:tcW w:type="dxa" w:w="4816"/>
          </w:tcPr>
          <w:p>
            <w:r>
              <w:t>15–25分钟</w:t>
            </w:r>
          </w:p>
        </w:tc>
      </w:tr>
      <w:tr>
        <w:tc>
          <w:tcPr>
            <w:tcW w:type="dxa" w:w="4816"/>
          </w:tcPr>
          <w:p>
            <w:r>
              <w:rPr>
                <w:b/>
              </w:rPr>
              <w:t>核心问题</w:t>
            </w:r>
          </w:p>
        </w:tc>
        <w:tc>
          <w:tcPr>
            <w:tcW w:type="dxa" w:w="4816"/>
          </w:tcPr>
          <w:p>
            <w:r>
              <w:t>当双方已经约定履行条件，违约发生后哪些步骤可以由智能合约自动触发？</w:t>
            </w:r>
          </w:p>
        </w:tc>
      </w:tr>
    </w:tbl>
    <w:p>
      <w:pPr>
        <w:pStyle w:val="Heading1"/>
      </w:pPr>
      <w:r>
        <w:t>任务一：还原业务</w:t>
      </w:r>
    </w:p>
    <w:p>
      <w:r>
        <w:t>根据案例正文和图示，先画出主要参与主体及业务/数据关系。不要急于写区块链技术名称。</w:t>
      </w:r>
    </w:p>
    <w:p>
      <w:pPr>
        <w:pStyle w:val="Heading1"/>
      </w:pPr>
      <w:r>
        <w:t>任务二：完成分析</w:t>
      </w:r>
    </w:p>
    <w:p>
      <w:r>
        <w:t>1. 把“合同签署—履行—条件判断—触发立案”画成四步流程。</w:t>
      </w:r>
    </w:p>
    <w:p>
      <w:r>
        <w:t>2. 列出一个适合写入智能合约的条件和一个不适合直接自动判断的条件。</w:t>
      </w:r>
    </w:p>
    <w:p>
      <w:r>
        <w:t>3. 说明智能合约为什么必须依赖可信的履行数据。</w:t>
      </w:r>
    </w:p>
    <w:p>
      <w:r>
        <w:t>4. 判断：智能合约越自动越好吗？请给出一个必须保留人工复核的场景。</w:t>
      </w:r>
    </w:p>
    <w:p>
      <w:pPr>
        <w:pStyle w:val="Heading1"/>
      </w:pPr>
      <w:r>
        <w:t>任务三：业务问题—机制对应表</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408"/>
            <w:shd w:fill="E7E6E6"/>
          </w:tcPr>
          <w:p>
            <w:r>
              <w:rPr>
                <w:b/>
              </w:rPr>
              <w:t>业务问题</w:t>
            </w:r>
          </w:p>
        </w:tc>
        <w:tc>
          <w:tcPr>
            <w:tcW w:type="dxa" w:w="2408"/>
            <w:shd w:fill="E7E6E6"/>
          </w:tcPr>
          <w:p>
            <w:r>
              <w:rPr>
                <w:b/>
              </w:rPr>
              <w:t>需要解决什么</w:t>
            </w:r>
          </w:p>
        </w:tc>
        <w:tc>
          <w:tcPr>
            <w:tcW w:type="dxa" w:w="2408"/>
            <w:shd w:fill="E7E6E6"/>
          </w:tcPr>
          <w:p>
            <w:r>
              <w:rPr>
                <w:b/>
              </w:rPr>
              <w:t>技术/治理机制</w:t>
            </w:r>
          </w:p>
        </w:tc>
        <w:tc>
          <w:tcPr>
            <w:tcW w:type="dxa" w:w="2408"/>
            <w:shd w:fill="E7E6E6"/>
          </w:tcPr>
          <w:p>
            <w:r>
              <w:rPr>
                <w:b/>
              </w:rPr>
              <w:t>依据/说明</w:t>
            </w:r>
          </w:p>
        </w:tc>
      </w:tr>
      <w:tr>
        <w:tc>
          <w:tcPr>
            <w:tcW w:type="dxa" w:w="2408"/>
          </w:tcPr>
          <w:p>
            <w:r>
              <w:t>约定条件需要反复核对</w:t>
            </w:r>
          </w:p>
        </w:tc>
        <w:tc>
          <w:tcPr>
            <w:tcW w:type="dxa" w:w="2408"/>
          </w:tcPr>
          <w:p/>
        </w:tc>
        <w:tc>
          <w:tcPr>
            <w:tcW w:type="dxa" w:w="2408"/>
          </w:tcPr>
          <w:p>
            <w:r>
              <w:t>把条件写入智能合约</w:t>
            </w:r>
          </w:p>
        </w:tc>
        <w:tc>
          <w:tcPr>
            <w:tcW w:type="dxa" w:w="2408"/>
          </w:tcPr>
          <w:p/>
        </w:tc>
      </w:tr>
      <w:tr>
        <w:tc>
          <w:tcPr>
            <w:tcW w:type="dxa" w:w="2408"/>
          </w:tcPr>
          <w:p>
            <w:r>
              <w:t>履行结果已可验证</w:t>
            </w:r>
          </w:p>
        </w:tc>
        <w:tc>
          <w:tcPr>
            <w:tcW w:type="dxa" w:w="2408"/>
          </w:tcPr>
          <w:p/>
        </w:tc>
        <w:tc>
          <w:tcPr>
            <w:tcW w:type="dxa" w:w="2408"/>
          </w:tcPr>
          <w:p>
            <w:r>
              <w:t>条件满足自动触发</w:t>
            </w:r>
          </w:p>
        </w:tc>
        <w:tc>
          <w:tcPr>
            <w:tcW w:type="dxa" w:w="2408"/>
          </w:tcPr>
          <w:p/>
        </w:tc>
      </w:tr>
      <w:tr>
        <w:tc>
          <w:tcPr>
            <w:tcW w:type="dxa" w:w="2408"/>
          </w:tcPr>
          <w:p>
            <w:r>
              <w:t>立案材料重复填写</w:t>
            </w:r>
          </w:p>
        </w:tc>
        <w:tc>
          <w:tcPr>
            <w:tcW w:type="dxa" w:w="2408"/>
          </w:tcPr>
          <w:p/>
        </w:tc>
        <w:tc>
          <w:tcPr>
            <w:tcW w:type="dxa" w:w="2408"/>
          </w:tcPr>
          <w:p>
            <w:r>
              <w:t>链上数据自动抓取</w:t>
            </w:r>
          </w:p>
        </w:tc>
        <w:tc>
          <w:tcPr>
            <w:tcW w:type="dxa" w:w="2408"/>
          </w:tcPr>
          <w:p/>
        </w:tc>
      </w:tr>
      <w:tr>
        <w:tc>
          <w:tcPr>
            <w:tcW w:type="dxa" w:w="2408"/>
          </w:tcPr>
          <w:p>
            <w:r>
              <w:t>异常与争议</w:t>
            </w:r>
          </w:p>
        </w:tc>
        <w:tc>
          <w:tcPr>
            <w:tcW w:type="dxa" w:w="2408"/>
          </w:tcPr>
          <w:p/>
        </w:tc>
        <w:tc>
          <w:tcPr>
            <w:tcW w:type="dxa" w:w="2408"/>
          </w:tcPr>
          <w:p>
            <w:r>
              <w:t>人工复核与司法兜底</w:t>
            </w:r>
          </w:p>
        </w:tc>
        <w:tc>
          <w:tcPr>
            <w:tcW w:type="dxa" w:w="2408"/>
          </w:tcPr>
          <w:p/>
        </w:tc>
      </w:tr>
    </w:tbl>
    <w:p>
      <w:pPr>
        <w:pStyle w:val="Heading1"/>
      </w:pPr>
      <w:r>
        <w:t>小组结论</w:t>
      </w:r>
    </w:p>
    <w:p>
      <w:r>
        <w:t>请用不超过150字回答：这个场景中区块链解决了什么，没有解决什么？</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