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C05 公开资料链接清单</w:t>
      </w:r>
    </w:p>
    <w:p>
      <w:r>
        <w:t>正式案例事实只采用公开可核验来源。学生原始案例仅作为选题与检索线索，不列入参考资料。</w:t>
      </w:r>
    </w:p>
    <w:p>
      <w:pPr>
        <w:pStyle w:val="Heading2"/>
      </w:pPr>
      <w:r>
        <w:t>[1] 腾讯云</w:t>
      </w:r>
    </w:p>
    <w:p>
      <w:r>
        <w:t>至信链版权存证</w:t>
      </w:r>
    </w:p>
    <w:p>
      <w:r>
        <w:t>https://cloud.tencent.com/product/copyrightdeposit</w:t>
      </w:r>
    </w:p>
    <w:p>
      <w:pPr>
        <w:pStyle w:val="Heading2"/>
      </w:pPr>
      <w:r>
        <w:t>[2] 腾讯云</w:t>
      </w:r>
    </w:p>
    <w:p>
      <w:r>
        <w:t>至信链版权存证产品简介</w:t>
      </w:r>
    </w:p>
    <w:p>
      <w:r>
        <w:t>https://cloud.tencent.com/document/product/1505/62890</w:t>
      </w:r>
    </w:p>
    <w:p>
      <w:pPr>
        <w:pStyle w:val="Heading2"/>
      </w:pPr>
      <w:r>
        <w:t>[3] 最高人民法院</w:t>
      </w:r>
    </w:p>
    <w:p>
      <w:r>
        <w:t>杭州互联网法院首次确认区块链电子存证法律效力</w:t>
      </w:r>
    </w:p>
    <w:p>
      <w:r>
        <w:t>https://www.court.gov.cn/zixun/xiangqing/104552.html</w:t>
      </w:r>
    </w:p>
    <w:p>
      <w:pPr>
        <w:pStyle w:val="Heading2"/>
      </w:pPr>
      <w:r>
        <w:t>[4] 最高人民法院</w:t>
      </w:r>
    </w:p>
    <w:p>
      <w:r>
        <w:t>杭州互联网法院司法区块链上线</w:t>
      </w:r>
    </w:p>
    <w:p>
      <w:r>
        <w:t>https://www.court.gov.cn/zixun/xiangqing/121501.html</w:t>
      </w:r>
    </w:p>
    <w:p>
      <w:pPr>
        <w:pStyle w:val="Heading2"/>
      </w:pPr>
      <w:r>
        <w:t>[5] 最高人民法院</w:t>
      </w:r>
    </w:p>
    <w:p>
      <w:r>
        <w:t>北京互联网法院“e版权”共治</w:t>
      </w:r>
    </w:p>
    <w:p>
      <w:r>
        <w:t>https://www.court.gov.cn/zixun/xiangqing/242651.html</w:t>
      </w:r>
    </w:p>
    <w:p>
      <w:pPr>
        <w:pStyle w:val="Heading2"/>
      </w:pPr>
      <w:r>
        <w:t>[6] 高能链开放平台</w:t>
      </w:r>
    </w:p>
    <w:p>
      <w:r>
        <w:t>版权保护与数字文创</w:t>
      </w:r>
    </w:p>
    <w:p>
      <w:r>
        <w:t>https://www.upowerchain.com/article/copyright</w:t>
      </w:r>
    </w:p>
    <w:p>
      <w:pPr>
        <w:pStyle w:val="Heading1"/>
      </w:pPr>
      <w:r>
        <w:t>使用原则</w:t>
      </w:r>
    </w:p>
    <w:p>
      <w:r>
        <w:t>• 优先政府/监管机构和项目/企业官方网站。</w:t>
      </w:r>
    </w:p>
    <w:p>
      <w:r>
        <w:t>• 关键数字必须能够回溯到可靠公开来源。</w:t>
      </w:r>
    </w:p>
    <w:p>
      <w:r>
        <w:t>• 不采用无出处成本下降比例、内部会议、负责人心理活动等无法核验信息。</w:t>
      </w:r>
    </w:p>
    <w:p>
      <w:r>
        <w:t>• 正文参考资料不写“访问日期”。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