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C06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协鑫科技</w:t>
      </w:r>
    </w:p>
    <w:p>
      <w:r>
        <w:t>协鑫碳链</w:t>
      </w:r>
    </w:p>
    <w:p>
      <w:r>
        <w:t>https://www.gcltech.com/gcl_carbon_chain</w:t>
      </w:r>
    </w:p>
    <w:p>
      <w:pPr>
        <w:pStyle w:val="Heading2"/>
      </w:pPr>
      <w:r>
        <w:t>[2] 协鑫集成</w:t>
      </w:r>
    </w:p>
    <w:p>
      <w:r>
        <w:t>协鑫碳链动态鉴证：绿色数据新范式</w:t>
      </w:r>
    </w:p>
    <w:p>
      <w:r>
        <w:t>https://www.gclsi.com/ndetail/298</w:t>
      </w:r>
    </w:p>
    <w:p>
      <w:pPr>
        <w:pStyle w:val="Heading2"/>
      </w:pPr>
      <w:r>
        <w:t>[3] 深圳市人民政府</w:t>
      </w:r>
    </w:p>
    <w:p>
      <w:r>
        <w:t>“低碳星球”小程序发布</w:t>
      </w:r>
    </w:p>
    <w:p>
      <w:r>
        <w:t>https://www.sz.gov.cn/cn/xxgk/zfxxgj/zwdt/content/post_9462083.html</w:t>
      </w:r>
    </w:p>
    <w:p>
      <w:pPr>
        <w:pStyle w:val="Heading2"/>
      </w:pPr>
      <w:r>
        <w:t>[4] 天津市人民政府政务服务办公室</w:t>
      </w:r>
    </w:p>
    <w:p>
      <w:r>
        <w:t>“区块链+无废河西”试点建设</w:t>
      </w:r>
    </w:p>
    <w:p>
      <w:r>
        <w:t>https://zwfwb.tj.gov.cn/sy/gabsycs/yshjdxalgh/202308/t20230815_6377547.html</w:t>
      </w:r>
    </w:p>
    <w:p>
      <w:pPr>
        <w:pStyle w:val="Heading2"/>
      </w:pPr>
      <w:r>
        <w:t>[5] 国家数据局</w:t>
      </w:r>
    </w:p>
    <w:p>
      <w:r>
        <w:t>基于制造业供应链碳管理场景的跨主体数据流通安全应用案例</w:t>
      </w:r>
    </w:p>
    <w:p>
      <w:r>
        <w:t>https://www.nda.gov.cn/sjj/ywpd/zcgh/0606/20260606112103922569538_pc.html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