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一只牡蛎的“身份证”——乳山牡蛎地理标志防伪与区块链取证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区域公用品牌面对假冒产地和仿冒包装时，怎样把产地溯源、防伪标签和维权证据连成一套机制？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画出养殖户、加工企业、协会、监管部门和消费者之间的品牌与数据关系。</w:t>
      </w:r>
    </w:p>
    <w:p>
      <w:r>
        <w:t>2. 区分“防伪标签”“溯源数据”“区块链证据”三个概念。</w:t>
      </w:r>
    </w:p>
    <w:p>
      <w:r>
        <w:t>3. 解释为什么只有区块链、没有标签管理仍可能出现假货。</w:t>
      </w:r>
    </w:p>
    <w:p>
      <w:r>
        <w:t>4. 设计发现假冒产品后的取证流程，并标出哪些信息需要形成可信时间记录。</w:t>
      </w:r>
    </w:p>
    <w:p>
      <w:r>
        <w:t>5. 讨论区域公用品牌中谁最适合承担联盟治理角色。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假冒产地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地理标志+防伪标签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标签转移复用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可变防伪标识/一物一码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消费者难举证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现场取证形成区块链证据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产业数据分散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养殖—加工—流通信息关联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