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T13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高能链开放平台</w:t>
      </w:r>
    </w:p>
    <w:p>
      <w:r>
        <w:t>UPowerchain用户协议与区块链技术服务说明</w:t>
      </w:r>
    </w:p>
    <w:p>
      <w:r>
        <w:t>https://www.upowerchain.com/agreement/user</w:t>
      </w:r>
    </w:p>
    <w:p>
      <w:pPr>
        <w:pStyle w:val="Heading2"/>
      </w:pPr>
      <w:r>
        <w:t>[2] 高能链开放平台</w:t>
      </w:r>
    </w:p>
    <w:p>
      <w:r>
        <w:t>版权保护：区块链与数字文创全生命周期</w:t>
      </w:r>
    </w:p>
    <w:p>
      <w:r>
        <w:t>https://www.upowerchain.com/article/copyright</w:t>
      </w:r>
    </w:p>
    <w:p>
      <w:pPr>
        <w:pStyle w:val="Heading2"/>
      </w:pPr>
      <w:r>
        <w:t>[3] 财联社</w:t>
      </w:r>
    </w:p>
    <w:p>
      <w:r>
        <w:t>“高能链”开路 B站的区块链业务如何进行？</w:t>
      </w:r>
    </w:p>
    <w:p>
      <w:r>
        <w:t>https://www.cls.cn/detail/890168</w:t>
      </w:r>
    </w:p>
    <w:p>
      <w:pPr>
        <w:pStyle w:val="Heading2"/>
      </w:pPr>
      <w:r>
        <w:t>[4] 最高人民法院</w:t>
      </w:r>
    </w:p>
    <w:p>
      <w:r>
        <w:t>最高人民法院关于互联网法院审理案件若干问题的规定</w:t>
      </w:r>
    </w:p>
    <w:p>
      <w:r>
        <w:t>https://www.court.gov.cn/zixun/xiangqing/116981.html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