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T15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一车固废去了哪里——天津河西“区块链+无废城市”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固体废物从产生、运输到处置跨越多个主体时，怎样形成连续监管和异常预警？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画出产废企业、运输单位、处置企业和监管部门之间的业务流程。</w:t>
      </w:r>
    </w:p>
    <w:p>
      <w:r>
        <w:t>2. 列出一车固废从出厂到处置至少需要记录的6个关键字段。</w:t>
      </w:r>
    </w:p>
    <w:p>
      <w:r>
        <w:t>3. 区分物联网、AI识别和区块链在系统中的不同作用。</w:t>
      </w:r>
    </w:p>
    <w:p>
      <w:r>
        <w:t>4. 设计“车辆偏离路线”后的预警、复核和处置流程。</w:t>
      </w:r>
    </w:p>
    <w:p>
      <w:r>
        <w:t>5. 讨论哪些企业数据需要共享，哪些只应向监管部门开放。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去向难追踪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全过程记录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多部门数据割裂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共享监管账本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异常运输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物联网/AI预警+链上留痕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责任界定难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时间、主体、处置记录关联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