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T16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从一条链到数据要素基础设施——趣链科技的产业区块链拓展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区块链企业从项目交付走向数据要素和可信数据空间时，产品、客户和商业模式发生了什么变化？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把趣链的业务演进概括为“项目交付—平台产品—数据要素基础设施”三个阶段。</w:t>
      </w:r>
    </w:p>
    <w:p>
      <w:r>
        <w:t>2. 说明为什么可信数据空间不能只靠区块链完成。</w:t>
      </w:r>
    </w:p>
    <w:p>
      <w:r>
        <w:t>3. 列出产业区块链企业从定制项目转向平台化时的三个困难。</w:t>
      </w:r>
    </w:p>
    <w:p>
      <w:r>
        <w:t>4. 设计一个判断客户是否愿意为“可信数据空间”持续付费的指标体系。</w:t>
      </w:r>
    </w:p>
    <w:p>
      <w:r>
        <w:t>5. 讨论技术公司何时应强调区块链品牌，何时应弱化技术标签、强调业务价值。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单项目交付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平台化产品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数据跨机构难流通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可信数据空间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隐私与授权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区块链+隐私计算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商业模式单一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基础设施+运营服务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