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T17 公开资料链接清单</w:t>
      </w:r>
    </w:p>
    <w:p>
      <w:r>
        <w:t>正式案例事实只采用公开可核验来源。学生原始案例仅作为选题与检索线索，不列入参考资料。</w:t>
      </w:r>
    </w:p>
    <w:p>
      <w:pPr>
        <w:pStyle w:val="Heading2"/>
      </w:pPr>
      <w:r>
        <w:t>[1] Everledger</w:t>
      </w:r>
    </w:p>
    <w:p>
      <w:r>
        <w:t>Diamonds—Everledger industry solution</w:t>
      </w:r>
    </w:p>
    <w:p>
      <w:r>
        <w:t>https://everledger.io/industry-solutions/diamonds/</w:t>
      </w:r>
    </w:p>
    <w:p>
      <w:pPr>
        <w:pStyle w:val="Heading2"/>
      </w:pPr>
      <w:r>
        <w:t>[2] Everledger</w:t>
      </w:r>
    </w:p>
    <w:p>
      <w:r>
        <w:t>Everledger with GIA and Chow Tai Fook Case Study</w:t>
      </w:r>
    </w:p>
    <w:p>
      <w:r>
        <w:t>https://everledger.io/wp-content/uploads/2022/11/case-study_Everledger-with-GIA-and-Chow-Tai-Fook.pdf</w:t>
      </w:r>
    </w:p>
    <w:p>
      <w:pPr>
        <w:pStyle w:val="Heading2"/>
      </w:pPr>
      <w:r>
        <w:t>[3] Everledger</w:t>
      </w:r>
    </w:p>
    <w:p>
      <w:r>
        <w:t>Making the commercial case for Blockchain Diamond Tracking</w:t>
      </w:r>
    </w:p>
    <w:p>
      <w:r>
        <w:t>https://everledger.io/making-the-commercial-case-for-blockchain-diamond-tracking/</w:t>
      </w:r>
    </w:p>
    <w:p>
      <w:pPr>
        <w:pStyle w:val="Heading2"/>
      </w:pPr>
      <w:r>
        <w:t>[4] Everledger</w:t>
      </w:r>
    </w:p>
    <w:p>
      <w:r>
        <w:t>Capture—digital twin and chain of custody</w:t>
      </w:r>
    </w:p>
    <w:p>
      <w:r>
        <w:t>https://everledger.io/our-platform/capture/</w:t>
      </w:r>
    </w:p>
    <w:p>
      <w:pPr>
        <w:pStyle w:val="Heading1"/>
      </w:pPr>
      <w:r>
        <w:t>使用原则</w:t>
      </w:r>
    </w:p>
    <w:p>
      <w:r>
        <w:t>• 优先政府/监管机构和项目/企业官方网站。</w:t>
      </w:r>
    </w:p>
    <w:p>
      <w:r>
        <w:t>• 关键数字必须能够回溯到可靠公开来源。</w:t>
      </w:r>
    </w:p>
    <w:p>
      <w:r>
        <w:t>• 不采用无出处成本下降比例、内部会议、负责人心理活动等无法核验信息。</w:t>
      </w:r>
    </w:p>
    <w:p>
      <w:r>
        <w:t>• 正文参考资料不写“访问日期”。</w:t>
      </w:r>
    </w:p>
    <w:sectPr w:rsidR="00FC693F" w:rsidRPr="0006063C" w:rsidSect="00034616">
      <w:pgSz w:w="12240" w:h="15840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