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T18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一票货为什么要经过这么多系统——TradeLens跨境航运数据共享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专题业务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45–60分钟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船公司、港口、货代、海关和货主各自掌握一部分信息时，如何让单证和物流事件形成共同可见的状态？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画出货主、货代、船公司、港口和海关之间的主要物流/单证关系。</w:t>
      </w:r>
    </w:p>
    <w:p>
      <w:r>
        <w:t>2. 列出至少5个适合形成共享状态的关键物流事件。</w:t>
      </w:r>
    </w:p>
    <w:p>
      <w:r>
        <w:t>3. 说明为什么联盟成员不应该看到所有商业数据。</w:t>
      </w:r>
    </w:p>
    <w:p>
      <w:r>
        <w:t>4. 分析区块链共享账本与传统EDI/中心平台相比可能改变哪类核验过程。</w:t>
      </w:r>
    </w:p>
    <w:p>
      <w:r>
        <w:t>5. 把“技术问题”和“平台治理问题”分别列出，避免混为一谈。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单证重复传递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共享文档/状态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物流事件分散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链上事件同步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跨主体核验慢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许可网络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数据权限差异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角色化访问与治理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