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C01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七、异常处理与权限设计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八、总体方案图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