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C02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七、异常处理与权限设计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八、总体方案图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