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C02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Food Trust全链追溯设计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综合应用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怎样把农场、加工、物流、配送和零售的关键事件、权限与异常处理整合成一套可持续运行的追溯系统？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小组方案设计 + 汇报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以农场—加工—物流—配送中心—门店为主线，画出业务流和数据流。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为每一节点定义3—5个关键数据元素和关键追踪事件。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设计供应商、沃尔玛、监管/审计方、消费者四类访问权限。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设计批次拆分、混批、退货、温控异常和召回五类异常处理。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说明实体商品与链上批次记录怎样绑定。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说明GS1标准、区块链、企业ERP/WMS/TMS分别承担什么功能。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提出一个“源头数据造假”的治理方案，并说明区块链为什么不能单独解决。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