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C03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七、异常处理与权限设计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八、总体方案图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