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C04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七、异常处理与权限设计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八、总体方案图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