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T05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协鑫科技. 协鑫碳链[EB/OL]. https://www.gcltech.com/gcl_carbon_chain</w:t>
      </w:r>
    </w:p>
    <w:p>
      <w:pPr>
        <w:ind w:left="113" w:hanging="113"/>
      </w:pPr>
      <w:r>
        <w:t>[2] 协鑫科技. 解析颗粒硅赋能“协鑫碳链”的底层逻辑[EB/OL]. https://gcltech.com/newsinfo/934.html</w:t>
      </w:r>
    </w:p>
    <w:p>
      <w:pPr>
        <w:ind w:left="113" w:hanging="113"/>
      </w:pPr>
      <w:r>
        <w:t>[3] 协鑫科技. 颗粒硅碳排放较2021年降低61% 协鑫科技坚持以ESG驱动高质量发展[EB/OL]. https://www.gcltech.com/newsinfo/1044.html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