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40"/>
        </w:rPr>
        <w:t>T06 案例分析报告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t>小组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成员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日期</w:t>
            </w:r>
          </w:p>
        </w:tc>
        <w:tc>
          <w:tcPr>
            <w:tcW w:type="dxa" w:w="4759"/>
          </w:tcPr>
          <w:p>
            <w:r/>
          </w:p>
        </w:tc>
      </w:tr>
      <w:tr>
        <w:tc>
          <w:tcPr>
            <w:tcW w:type="dxa" w:w="4759"/>
          </w:tcPr>
          <w:p>
            <w:r>
              <w:t>课程章节</w:t>
            </w:r>
          </w:p>
        </w:tc>
        <w:tc>
          <w:tcPr>
            <w:tcW w:type="dxa" w:w="4759"/>
          </w:tcPr>
          <w:p>
            <w:r/>
          </w:p>
        </w:tc>
      </w:tr>
    </w:tbl>
    <w:p>
      <w:pPr>
        <w:pStyle w:val="Heading1"/>
      </w:pPr>
      <w:r>
        <w:t>一、业务背景与核心问题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二、参与主体及其目标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三、业务流程与数据流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四、问题—技术机制映射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五、技术边界与风险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pPr>
        <w:pStyle w:val="Heading1"/>
      </w:pPr>
      <w:r>
        <w:t>六、改进方案与结论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p>
      <w:r>
        <w:t>＿＿＿＿＿＿＿＿＿＿＿＿＿＿＿＿＿＿＿＿＿＿＿＿＿＿＿＿＿＿＿＿＿＿＿＿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