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“代码即规则”之后——DAO、Solana与Ronin的安全和治理边界</w:t>
      </w:r>
    </w:p>
    <w:p>
      <w:pPr>
        <w:pStyle w:val="Heading1"/>
      </w:pPr>
      <w:r>
        <w:t>第一种风险：代码本身有漏洞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2016年The DAO遭遇攻击。Ethereum Foundation当时说明，攻击利用递归调用方式反复触发分拆函数，导致资金被转移。后来Ethereum社区通过硬分叉处理后果，也由此形成Ethereum与Ethereum Classic两条路径。这个事件说明：智能合约“自动执行”并不等于合约逻辑永远正确。</w:t>
      </w:r>
      <w:r>
        <w:rPr>
          <w:sz w:val="16"/>
          <w:vertAlign w:val="superscript"/>
        </w:rPr>
        <w:t>[1,2,3]</w:t>
      </w:r>
    </w:p>
    <w:p>
      <w:pPr>
        <w:pStyle w:val="Heading1"/>
      </w:pPr>
      <w:r>
        <w:t>第二种风险：网络可能停止服务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2021年9月14日，Solana官方报告称网络离线约17小时，未发生资金损失，随后由社区恢复运行。高吞吐区块链同样需要面对拥堵、验证者协同和故障恢复。共识机制解决的是节点如何达成一致，却不意味着网络永不停止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第三种风险：跨链桥的信任集中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Ronin官方在桥恢复公告中确认，2022年3月攻击导致173,600 ETH和25.5M USDC被盗。此后新的桥设计加入更严格治理和熔断机制。Ronin随后也公开反思“真正分布式网络”的重要性。</w:t>
      </w:r>
      <w:r>
        <w:rPr>
          <w:sz w:val="16"/>
          <w:vertAlign w:val="superscript"/>
        </w:rPr>
        <w:t>[5,6]</w:t>
      </w:r>
    </w:p>
    <w:p>
      <w:pPr>
        <w:pStyle w:val="Heading1"/>
      </w:pPr>
      <w:r>
        <w:t>三个事件的共同问题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DAO、Solana和Ronin分别对应合约代码、网络可用性和跨链治理风险。它们说明“链上不可轻易改写”只是安全的一部分。一个完整区块链系统还要考虑代码审计、节点分布、权限阈值、异常暂停、升级和恢复。</w:t>
      </w:r>
      <w:r>
        <w:rPr>
          <w:sz w:val="16"/>
          <w:vertAlign w:val="superscript"/>
        </w:rPr>
        <w:t>[3,6]</w:t>
      </w:r>
    </w:p>
    <w:p>
      <w:pPr>
        <w:pStyle w:val="Heading1"/>
      </w:pPr>
      <w:r>
        <w:t>治理是技术系统的一部分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DAO事件之后是否回滚、Solana故障时如何协调验证者、Ronin桥如何重新设计权限阈值，都需要人和组织做出决定。因此，区块链并没有消灭治理，而是把治理规则更明确地嵌入技术与社区机制之中。</w:t>
      </w:r>
      <w:r>
        <w:rPr>
          <w:sz w:val="16"/>
          <w:vertAlign w:val="superscript"/>
        </w:rPr>
        <w:t>[2,4,6]</w:t>
      </w:r>
    </w:p>
    <w:p>
      <w:pPr>
        <w:pStyle w:val="Heading1"/>
      </w:pPr>
      <w:r>
        <w:t>DAO事件把“代码错误”变成治理危机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The DAO并不是普通网站漏洞。资金按照智能合约代码执行，攻击者利用递归调用逻辑把资产转出时，链本身仍然按照既定规则正确记录交易。问题出在合约规则本身存在漏洞。</w:t>
      </w:r>
      <w:r>
        <w:rPr>
          <w:sz w:val="16"/>
          <w:vertAlign w:val="superscript"/>
        </w:rPr>
        <w:t>[1,2,3]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随后社区是否通过硬分叉改变历史状态，引发了“代码执行结果是否应被人为干预”的争论。最终形成不同链的选择说明，即使去中心化网络也需要面对价值判断和集体决策。安全事件因此很快从程序问题升级为治理问题。</w:t>
      </w:r>
      <w:r>
        <w:rPr>
          <w:sz w:val="16"/>
          <w:vertAlign w:val="superscript"/>
        </w:rPr>
        <w:t>[1,2,3]</w:t>
      </w:r>
    </w:p>
    <w:p>
      <w:pPr>
        <w:pStyle w:val="Heading1"/>
      </w:pPr>
      <w:r>
        <w:t>Solana故障说明可用性也是安全的一部分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区块链常用“不可篡改”描述数据安全，但用户还需要系统持续可用。Solana 2021年故障持续约17小时，官方说明网络在验证者协调后恢复。期间没有资金被直接盗走，但无法正常处理交易本身就是严重服务风险。</w:t>
      </w:r>
      <w:r>
        <w:rPr>
          <w:sz w:val="16"/>
          <w:vertAlign w:val="superscript"/>
        </w:rPr>
        <w:t>[4]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高吞吐系统需要处理流量激增、资源消耗和验证者协同。共识协议能让节点在正常条件下达成一致，却不能消除软件缺陷、拥堵和运维恢复问题。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Ronin把跨链桥的权限风险暴露出来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跨链桥需要在不同网络之间确认资产锁定和释放，往往依赖一组验证者或密钥。如果控制权过度集中，攻击者只要取得足够签名权限，就可能绕过正常用户路径。Ronin公开确认2022年攻击造成大量资产损失，此后重新设计验证与熔断机制。</w:t>
      </w:r>
      <w:r>
        <w:rPr>
          <w:sz w:val="16"/>
          <w:vertAlign w:val="superscript"/>
        </w:rPr>
        <w:t>[5,6]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这个事件说明所谓“去中心化应用”中仍可能存在高度集中的关键组件。评估系统安全时，不能只看底层公链节点数量，还要追踪跨链桥、管理员密钥、预言机和升级权限。</w:t>
      </w:r>
      <w:r>
        <w:rPr>
          <w:sz w:val="16"/>
          <w:vertAlign w:val="superscript"/>
        </w:rPr>
        <w:t>[5,6]</w:t>
      </w:r>
    </w:p>
    <w:p>
      <w:pPr>
        <w:pStyle w:val="Heading1"/>
      </w:pPr>
      <w:r>
        <w:t>三起事件对应三种不同的失效模式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DAO主要是合约逻辑失效，Solana主要是网络可用性失效，Ronin主要是跨链验证和权限治理失效。三者都发生在区块链生态中，却不能用一个“51%攻击”概念解释。</w:t>
      </w:r>
      <w:r>
        <w:rPr>
          <w:sz w:val="16"/>
          <w:vertAlign w:val="superscript"/>
        </w:rPr>
        <w:t>[3,4,6]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这提示安全设计必须分层：合约要审计和限制权限，网络要具备监控和恢复机制，跨链桥要降低密钥集中并设置限额、熔断和应急暂停。治理机制则要说明谁可以触发这些措施。</w:t>
      </w:r>
      <w:r>
        <w:rPr>
          <w:sz w:val="16"/>
          <w:vertAlign w:val="superscript"/>
        </w:rPr>
        <w:t>[3,4,6]</w:t>
      </w:r>
    </w:p>
    <w:p>
      <w:pPr>
        <w:pStyle w:val="Heading1"/>
      </w:pPr>
      <w:r>
        <w:t>“不能改”与“出了问题怎么办”必须同时设计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不可篡改强调的是正常账本历史不应被单方随意重写，但任何真实系统都可能发生漏洞和事故。如果制度完全没有升级、暂停和修复机制，一次错误就可能永久扩大。</w:t>
      </w:r>
      <w:r>
        <w:rPr>
          <w:sz w:val="16"/>
          <w:vertAlign w:val="superscript"/>
        </w:rPr>
        <w:t>[2,3,6]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成熟区块链治理因此需要同时约束正常权限和异常权限：平时谁都不能随意改，出现重大事件时又要有透明、受约束、可审计的应急流程。</w:t>
      </w:r>
      <w:r>
        <w:rPr>
          <w:sz w:val="16"/>
          <w:vertAlign w:val="superscript"/>
        </w:rPr>
        <w:t>[2,3,6]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02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0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当智能合约、共识网络或跨链桥出问题时，“不可篡改”为什么仍不能等同于“绝对安全”？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Ethereum Foundation Blog. CRITICAL UPDATE Re: DAO Vulnerability[EB/OL]. https://blog.ethereum.org/2016/06/17/critical-update-re-dao-vulnerability</w:t>
      </w:r>
    </w:p>
    <w:p>
      <w:pPr>
        <w:ind w:left="113" w:hanging="113"/>
      </w:pPr>
      <w:r>
        <w:t>[2] ethereum.org. Ethereum Governance[EB/OL]. https://ethereum.org/governance/</w:t>
      </w:r>
    </w:p>
    <w:p>
      <w:pPr>
        <w:ind w:left="113" w:hanging="113"/>
      </w:pPr>
      <w:r>
        <w:t>[3] ethereum.org. Smart contract security[EB/OL]. https://ethereum.org/developers/docs/smart-contracts/security/</w:t>
      </w:r>
    </w:p>
    <w:p>
      <w:pPr>
        <w:ind w:left="113" w:hanging="113"/>
      </w:pPr>
      <w:r>
        <w:t>[4] Solana. 9-14 Network Outage Initial Overview[EB/OL]. https://solana.com/news/9-14-network-outage-initial-overview</w:t>
      </w:r>
    </w:p>
    <w:p>
      <w:pPr>
        <w:ind w:left="113" w:hanging="113"/>
      </w:pPr>
      <w:r>
        <w:t>[5] Ronin. The Ronin Bridge Is Open[EB/OL]. https://blog.roninchain.com/p/the-ronin-bridge-is-open-</w:t>
      </w:r>
    </w:p>
    <w:p>
      <w:pPr>
        <w:ind w:left="113" w:hanging="113"/>
      </w:pPr>
      <w:r>
        <w:t>[6] Ronin. Securing Ronin[EB/OL]. https://roninchain.com/blog/posts/securing-ronin-6513cc78a5edc1001b03c365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