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T08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DAO、Solana与Ronin安全治理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当智能合约、共识网络或跨链桥出问题时，“不可篡改”为什么仍不能等同于“绝对安全”？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分别指出DAO、Solana、Ronin事件的主要风险类型。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解释“不可篡改”和“系统安全”为什么不是同义词。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为智能合约、共识网络、跨链桥各设计一项预防或应急措施。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讨论DAO硬分叉反映了怎样的治理矛盾。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用一张表比较三起事件中的技术责任和治理责任。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