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Noto Sans CJK SC"/>
          <w:b/>
          <w:color w:val="4B5564"/>
          <w:sz w:val="30"/>
        </w:rPr>
        <w:t>区块链业务决策与交易沙盘</w:t>
      </w:r>
    </w:p>
    <w:p>
      <w:pPr>
        <w:spacing w:before="1100"/>
        <w:jc w:val="center"/>
      </w:pPr>
      <w:r>
        <w:rPr>
          <w:rFonts w:ascii="Arial" w:hAnsi="Arial" w:eastAsia="Noto Sans CJK SC"/>
          <w:b/>
          <w:color w:val="1F2937"/>
          <w:sz w:val="56"/>
        </w:rPr>
        <w:t>学生使用说明</w:t>
      </w:r>
    </w:p>
    <w:p>
      <w:pPr>
        <w:jc w:val="center"/>
      </w:pPr>
      <w:r>
        <w:rPr>
          <w:rFonts w:ascii="Arial" w:hAnsi="Arial" w:eastAsia="Noto Sans CJK SC"/>
          <w:b w:val="0"/>
          <w:color w:val="646464"/>
          <w:sz w:val="24"/>
        </w:rPr>
        <w:t>加入实验、角色操作、链上记录查看与实验结果</w:t>
      </w:r>
    </w:p>
    <w:p>
      <w:pPr>
        <w:spacing w:before="1600"/>
        <w:jc w:val="center"/>
      </w:pPr>
      <w:r>
        <w:rPr>
          <w:rFonts w:ascii="Arial" w:hAnsi="Arial" w:eastAsia="Noto Sans CJK SC"/>
          <w:b/>
          <w:sz w:val="22"/>
        </w:rPr>
        <w:t>适用版本：V0.18B（课堂部署版）</w:t>
      </w:r>
    </w:p>
    <w:p>
      <w:pPr>
        <w:jc w:val="center"/>
      </w:pPr>
      <w:r>
        <w:rPr>
          <w:rFonts w:ascii="Arial" w:hAnsi="Arial" w:eastAsia="Noto Sans CJK SC"/>
          <w:b w:val="0"/>
          <w:color w:val="646464"/>
          <w:sz w:val="21"/>
        </w:rPr>
        <w:t>更新日期：2026年8月</w:t>
      </w:r>
    </w:p>
    <w:p>
      <w:pPr>
        <w:spacing w:before="700"/>
        <w:ind w:left="1247" w:right="1247"/>
        <w:jc w:val="center"/>
      </w:pPr>
      <w:r>
        <w:rPr>
          <w:rFonts w:ascii="Arial" w:hAnsi="Arial" w:eastAsia="Noto Sans CJK SC"/>
          <w:b w:val="0"/>
          <w:color w:val="5A5A5A"/>
          <w:sz w:val="21"/>
        </w:rPr>
        <w:t>本说明面向课堂实际使用，重点说明“怎么操作、操作后系统会发生什么、教学上希望学生观察什么”。</w:t>
      </w:r>
    </w:p>
    <w:p>
      <w:r>
        <w:br w:type="page"/>
      </w:r>
    </w:p>
    <w:p>
      <w:pPr>
        <w:pStyle w:val="Heading1"/>
        <w:spacing w:before="160" w:after="100"/>
      </w:pPr>
      <w:r>
        <w:rPr>
          <w:rFonts w:ascii="Arial" w:hAnsi="Arial" w:eastAsia="Noto Sans CJK SC"/>
          <w:b/>
          <w:sz w:val="32"/>
        </w:rPr>
        <w:t>一、你要完成什么</w:t>
      </w:r>
    </w:p>
    <w:p>
      <w:r>
        <w:rPr>
          <w:rFonts w:ascii="Arial" w:hAnsi="Arial" w:eastAsia="Noto Sans CJK SC"/>
          <w:b w:val="0"/>
          <w:sz w:val="21"/>
        </w:rPr>
        <w:t>你将以供应商、制造商、经销商或银行中的一个角色，与同组其他同学共同完成一条供应链业务流程。系统会记录报价、订单、融资、发货、验收、付款和链上交易等过程。你的目标不是单独“点完按钮”，而是理解每一步业务操作会改变什么业务状态、资金状态和链上记录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rPr>
          <w:cantSplit w:val="1"/>
        </w:trPr>
        <w:tc>
          <w:tcPr>
            <w:tcW w:type="dxa" w:w="9746"/>
            <w:shd w:fill="F4F6F8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Arial" w:hAnsi="Arial" w:eastAsia="Noto Sans CJK SC"/>
                <w:b/>
                <w:color w:val="374150"/>
                <w:sz w:val="20"/>
              </w:rPr>
              <w:t>最重要的认识：</w:t>
            </w:r>
            <w:r>
              <w:rPr>
                <w:rFonts w:ascii="Arial" w:hAnsi="Arial" w:eastAsia="Noto Sans CJK SC"/>
                <w:b w:val="0"/>
                <w:color w:val="464646"/>
                <w:sz w:val="20"/>
              </w:rPr>
              <w:t>业务操作由学生完成；链上交易形成后先处于“待确认”，由教师统一模拟网络确认并打包成区块。学生不能自己确认区块。</w:t>
            </w:r>
          </w:p>
        </w:tc>
      </w:tr>
    </w:tbl>
    <w:p>
      <w:pPr>
        <w:spacing w:after="0"/>
      </w:pPr>
    </w:p>
    <w:p>
      <w:pPr>
        <w:pStyle w:val="Heading1"/>
        <w:spacing w:before="160" w:after="100"/>
      </w:pPr>
      <w:r>
        <w:rPr>
          <w:rFonts w:ascii="Arial" w:hAnsi="Arial" w:eastAsia="Noto Sans CJK SC"/>
          <w:b/>
          <w:sz w:val="32"/>
        </w:rPr>
        <w:t>二、如何进入课堂实验</w:t>
      </w:r>
    </w:p>
    <w:p>
      <w:pPr>
        <w:pStyle w:val="Heading2"/>
        <w:spacing w:before="100" w:after="100"/>
      </w:pPr>
      <w:r>
        <w:rPr>
          <w:rFonts w:ascii="Arial" w:hAnsi="Arial" w:eastAsia="Noto Sans CJK SC"/>
          <w:b/>
          <w:sz w:val="26"/>
        </w:rPr>
        <w:t>1. 第一次参加</w:t>
      </w:r>
    </w:p>
    <w:p>
      <w:pPr>
        <w:pStyle w:val="ListNumber"/>
        <w:spacing w:after="40"/>
      </w:pPr>
      <w:r>
        <w:rPr>
          <w:rFonts w:ascii="Arial" w:hAnsi="Arial" w:eastAsia="Noto Sans CJK SC"/>
          <w:b w:val="0"/>
          <w:sz w:val="21"/>
        </w:rPr>
        <w:t>打开教师公布的学生端地址，例如 http://教师电脑IP:8000/student。</w:t>
      </w:r>
    </w:p>
    <w:p>
      <w:pPr>
        <w:pStyle w:val="ListNumber"/>
        <w:spacing w:after="40"/>
      </w:pPr>
      <w:r>
        <w:rPr>
          <w:rFonts w:ascii="Arial" w:hAnsi="Arial" w:eastAsia="Noto Sans CJK SC"/>
          <w:b w:val="0"/>
          <w:sz w:val="21"/>
        </w:rPr>
        <w:t>在“首次加入实验”填写姓名、学号、实验编号、小组编号。</w:t>
      </w:r>
    </w:p>
    <w:p>
      <w:pPr>
        <w:pStyle w:val="ListNumber"/>
        <w:spacing w:after="40"/>
      </w:pPr>
      <w:r>
        <w:rPr>
          <w:rFonts w:ascii="Arial" w:hAnsi="Arial" w:eastAsia="Noto Sans CJK SC"/>
          <w:b w:val="0"/>
          <w:sz w:val="21"/>
        </w:rPr>
        <w:t>选择教师分配给你的角色：供应商、制造商、经销商或银行。</w:t>
      </w:r>
    </w:p>
    <w:p>
      <w:pPr>
        <w:pStyle w:val="ListNumber"/>
        <w:spacing w:after="40"/>
      </w:pPr>
      <w:r>
        <w:rPr>
          <w:rFonts w:ascii="Arial" w:hAnsi="Arial" w:eastAsia="Noto Sans CJK SC"/>
          <w:b w:val="0"/>
          <w:sz w:val="21"/>
        </w:rPr>
        <w:t>点击“首次加入实验”，成功后进入自己的角色工作台。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rPr>
          <w:cantSplit w:val="1"/>
        </w:trPr>
        <w:tc>
          <w:tcPr>
            <w:tcW w:type="dxa" w:w="9746"/>
            <w:shd w:fill="F4F6F8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Arial" w:hAnsi="Arial" w:eastAsia="Noto Sans CJK SC"/>
                <w:b/>
                <w:color w:val="374150"/>
                <w:sz w:val="20"/>
              </w:rPr>
              <w:t>注意：</w:t>
            </w:r>
            <w:r>
              <w:rPr>
                <w:rFonts w:ascii="Arial" w:hAnsi="Arial" w:eastAsia="Noto Sans CJK SC"/>
                <w:b w:val="0"/>
                <w:color w:val="464646"/>
                <w:sz w:val="20"/>
              </w:rPr>
              <w:t>每个小组同一角色只能由一名学生选择。如果提示“角色已被占用”，请核对教师分组。</w:t>
            </w:r>
          </w:p>
        </w:tc>
      </w:tr>
    </w:tbl>
    <w:p>
      <w:pPr>
        <w:spacing w:after="0"/>
      </w:pPr>
    </w:p>
    <w:p>
      <w:pPr>
        <w:pStyle w:val="Heading2"/>
        <w:spacing w:before="100" w:after="100"/>
      </w:pPr>
      <w:r>
        <w:rPr>
          <w:rFonts w:ascii="Arial" w:hAnsi="Arial" w:eastAsia="Noto Sans CJK SC"/>
          <w:b/>
          <w:sz w:val="26"/>
        </w:rPr>
        <w:t>2. 已经加入过实验</w:t>
      </w:r>
    </w:p>
    <w:p>
      <w:pPr>
        <w:pStyle w:val="ListNumber"/>
        <w:spacing w:after="40"/>
      </w:pPr>
      <w:r>
        <w:rPr>
          <w:rFonts w:ascii="Arial" w:hAnsi="Arial" w:eastAsia="Noto Sans CJK SC"/>
          <w:b w:val="0"/>
          <w:sz w:val="21"/>
        </w:rPr>
        <w:t>打开学生端首页。</w:t>
      </w:r>
    </w:p>
    <w:p>
      <w:pPr>
        <w:pStyle w:val="ListNumber"/>
        <w:spacing w:after="40"/>
      </w:pPr>
      <w:r>
        <w:rPr>
          <w:rFonts w:ascii="Arial" w:hAnsi="Arial" w:eastAsia="Noto Sans CJK SC"/>
          <w:b w:val="0"/>
          <w:sz w:val="21"/>
        </w:rPr>
        <w:t>在“重新进入实验”只填写实验编号和学号。</w:t>
      </w:r>
    </w:p>
    <w:p>
      <w:pPr>
        <w:pStyle w:val="ListNumber"/>
        <w:spacing w:after="40"/>
      </w:pPr>
      <w:r>
        <w:rPr>
          <w:rFonts w:ascii="Arial" w:hAnsi="Arial" w:eastAsia="Noto Sans CJK SC"/>
          <w:b w:val="0"/>
          <w:sz w:val="21"/>
        </w:rPr>
        <w:t>点击“重新进入工作台”。系统会恢复你原来的小组和角色。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rPr>
          <w:cantSplit w:val="1"/>
        </w:trPr>
        <w:tc>
          <w:tcPr>
            <w:tcW w:type="dxa" w:w="9746"/>
            <w:shd w:fill="F4F6F8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Arial" w:hAnsi="Arial" w:eastAsia="Noto Sans CJK SC"/>
                <w:b/>
                <w:color w:val="374150"/>
                <w:sz w:val="20"/>
              </w:rPr>
              <w:t>浏览器身份：</w:t>
            </w:r>
            <w:r>
              <w:rPr>
                <w:rFonts w:ascii="Arial" w:hAnsi="Arial" w:eastAsia="Noto Sans CJK SC"/>
                <w:b w:val="0"/>
                <w:color w:val="464646"/>
                <w:sz w:val="20"/>
              </w:rPr>
              <w:t>一个普通浏览器会话绑定一个学生身份。不要在同一浏览器普通窗口里反复登录不同角色。</w:t>
            </w:r>
          </w:p>
        </w:tc>
      </w:tr>
    </w:tbl>
    <w:p>
      <w:pPr>
        <w:spacing w:after="0"/>
      </w:pPr>
    </w:p>
    <w:p>
      <w:pPr>
        <w:pStyle w:val="Heading1"/>
        <w:spacing w:before="160" w:after="100"/>
      </w:pPr>
      <w:r>
        <w:rPr>
          <w:rFonts w:ascii="Arial" w:hAnsi="Arial" w:eastAsia="Noto Sans CJK SC"/>
          <w:b/>
          <w:sz w:val="32"/>
        </w:rPr>
        <w:t>三、先看实验状态和“当前课堂任务”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  <w:cantSplit w:val="1"/>
        </w:trPr>
        <w:tc>
          <w:tcPr>
            <w:tcW w:type="dxa" w:w="1814"/>
            <w:shd w:fill="E9EDF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283241"/>
                <w:sz w:val="19"/>
              </w:rPr>
              <w:t>实验状态</w:t>
            </w:r>
          </w:p>
        </w:tc>
        <w:tc>
          <w:tcPr>
            <w:tcW w:type="dxa" w:w="7540"/>
            <w:shd w:fill="E9EDF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283241"/>
                <w:sz w:val="19"/>
              </w:rPr>
              <w:t>你能做什么</w:t>
            </w:r>
          </w:p>
        </w:tc>
      </w:tr>
      <w:tr>
        <w:trPr>
          <w:cantSplit w:val="1"/>
        </w:trP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9"/>
              </w:rPr>
              <w:t>准备中</w:t>
            </w:r>
          </w:p>
        </w:tc>
        <w:tc>
          <w:tcPr>
            <w:tcW w:type="dxa" w:w="75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9"/>
              </w:rPr>
              <w:t>可以进入工作台、查看角色和实验信息，但不能提交新的业务操作。等待教师开始实验。</w:t>
            </w:r>
          </w:p>
        </w:tc>
      </w:tr>
      <w:tr>
        <w:trPr>
          <w:cantSplit w:val="1"/>
        </w:trP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9"/>
              </w:rPr>
              <w:t>进行中</w:t>
            </w:r>
          </w:p>
        </w:tc>
        <w:tc>
          <w:tcPr>
            <w:tcW w:type="dxa" w:w="75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9"/>
              </w:rPr>
              <w:t>可以按照工作台顶部“当前课堂任务”完成本角色操作。</w:t>
            </w:r>
          </w:p>
        </w:tc>
      </w:tr>
      <w:tr>
        <w:trPr>
          <w:cantSplit w:val="1"/>
        </w:trP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9"/>
              </w:rPr>
              <w:t>已结束</w:t>
            </w:r>
          </w:p>
        </w:tc>
        <w:tc>
          <w:tcPr>
            <w:tcW w:type="dxa" w:w="75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9"/>
              </w:rPr>
              <w:t>只能查看历史业务、资金流水、链上记录和本组实验结果，不能再新增业务。</w:t>
            </w:r>
          </w:p>
        </w:tc>
      </w:tr>
    </w:tbl>
    <w:p>
      <w:pPr>
        <w:spacing w:after="20"/>
      </w:pPr>
    </w:p>
    <w:p>
      <w:r>
        <w:rPr>
          <w:rFonts w:ascii="Arial" w:hAnsi="Arial" w:eastAsia="Noto Sans CJK SC"/>
          <w:b w:val="0"/>
          <w:sz w:val="21"/>
        </w:rPr>
        <w:t>工作台顶部的“当前课堂任务”会根据你的角色和本组当前业务状态变化。课堂中优先按照这一提示操作，不需要自己在长页面里寻找下一步。</w:t>
      </w:r>
    </w:p>
    <w:p>
      <w:pPr>
        <w:pStyle w:val="Heading1"/>
        <w:spacing w:before="160" w:after="100"/>
      </w:pPr>
      <w:r>
        <w:rPr>
          <w:rFonts w:ascii="Arial" w:hAnsi="Arial" w:eastAsia="Noto Sans CJK SC"/>
          <w:b/>
          <w:sz w:val="32"/>
        </w:rPr>
        <w:t>四、四种角色分别怎么操作</w:t>
      </w:r>
    </w:p>
    <w:p>
      <w:pPr>
        <w:pStyle w:val="Heading2"/>
        <w:spacing w:before="100" w:after="100"/>
      </w:pPr>
      <w:r>
        <w:rPr>
          <w:rFonts w:ascii="Arial" w:hAnsi="Arial" w:eastAsia="Noto Sans CJK SC"/>
          <w:b/>
          <w:sz w:val="26"/>
        </w:rPr>
        <w:t>（一）供应商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  <w:cantSplit w:val="1"/>
        </w:trPr>
        <w:tc>
          <w:tcPr>
            <w:tcW w:type="dxa" w:w="1134"/>
            <w:shd w:fill="E9EDF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283241"/>
                <w:sz w:val="19"/>
              </w:rPr>
              <w:t>顺序</w:t>
            </w:r>
          </w:p>
        </w:tc>
        <w:tc>
          <w:tcPr>
            <w:tcW w:type="dxa" w:w="3969"/>
            <w:shd w:fill="E9EDF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283241"/>
                <w:sz w:val="19"/>
              </w:rPr>
              <w:t>你要做什么</w:t>
            </w:r>
          </w:p>
        </w:tc>
        <w:tc>
          <w:tcPr>
            <w:tcW w:type="dxa" w:w="4252"/>
            <w:shd w:fill="E9EDF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283241"/>
                <w:sz w:val="19"/>
              </w:rPr>
              <w:t>操作后的系统效果</w:t>
            </w:r>
          </w:p>
        </w:tc>
      </w:tr>
      <w:tr>
        <w:trPr>
          <w:cantSplit w:val="1"/>
        </w:trPr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9"/>
              </w:rPr>
              <w:t>1</w:t>
            </w:r>
          </w:p>
        </w:tc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9"/>
              </w:rPr>
              <w:t>创建上游报价：填写商品、数量、单价、交货期并提交</w:t>
            </w:r>
          </w:p>
        </w:tc>
        <w:tc>
          <w:tcPr>
            <w:tcW w:type="dxa" w:w="42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9"/>
              </w:rPr>
              <w:t>形成供应商报价，制造商工作台可以看到并作出接受/拒绝决策</w:t>
            </w:r>
          </w:p>
        </w:tc>
      </w:tr>
      <w:tr>
        <w:trPr>
          <w:cantSplit w:val="1"/>
        </w:trPr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9"/>
              </w:rPr>
              <w:t>2</w:t>
            </w:r>
          </w:p>
        </w:tc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9"/>
              </w:rPr>
              <w:t>等待制造商处理报价</w:t>
            </w:r>
          </w:p>
        </w:tc>
        <w:tc>
          <w:tcPr>
            <w:tcW w:type="dxa" w:w="42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9"/>
              </w:rPr>
              <w:t>若制造商接受，则形成正式采购订单和智能合约；拒绝则本次报价结束</w:t>
            </w:r>
          </w:p>
        </w:tc>
      </w:tr>
      <w:tr>
        <w:trPr>
          <w:cantSplit w:val="1"/>
        </w:trPr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9"/>
              </w:rPr>
              <w:t>3（可选）</w:t>
            </w:r>
          </w:p>
        </w:tc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9"/>
              </w:rPr>
              <w:t>对已经形成的采购订单申请订单融资</w:t>
            </w:r>
          </w:p>
        </w:tc>
        <w:tc>
          <w:tcPr>
            <w:tcW w:type="dxa" w:w="42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9"/>
              </w:rPr>
              <w:t>形成融资申请，银行可以查看订单信息并批准或拒绝</w:t>
            </w:r>
          </w:p>
        </w:tc>
      </w:tr>
      <w:tr>
        <w:trPr>
          <w:cantSplit w:val="1"/>
        </w:trPr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9"/>
              </w:rPr>
              <w:t>4</w:t>
            </w:r>
          </w:p>
        </w:tc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9"/>
              </w:rPr>
              <w:t>确认采购订单发货</w:t>
            </w:r>
          </w:p>
        </w:tc>
        <w:tc>
          <w:tcPr>
            <w:tcW w:type="dxa" w:w="42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9"/>
              </w:rPr>
              <w:t>订单状态变为已发货，并生成一笔待确认的上游发货链上交易</w:t>
            </w:r>
          </w:p>
        </w:tc>
      </w:tr>
      <w:tr>
        <w:trPr>
          <w:cantSplit w:val="1"/>
        </w:trPr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9"/>
              </w:rPr>
              <w:t>5</w:t>
            </w:r>
          </w:p>
        </w:tc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9"/>
              </w:rPr>
              <w:t>等待制造商验收</w:t>
            </w:r>
          </w:p>
        </w:tc>
        <w:tc>
          <w:tcPr>
            <w:tcW w:type="dxa" w:w="42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9"/>
              </w:rPr>
              <w:t>验收条件满足且制造商余额充足时，智能合约自动从制造商向供应商付款</w:t>
            </w:r>
          </w:p>
        </w:tc>
      </w:tr>
      <w:tr>
        <w:trPr>
          <w:cantSplit w:val="1"/>
        </w:trPr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9"/>
              </w:rPr>
              <w:t>6</w:t>
            </w:r>
          </w:p>
        </w:tc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9"/>
              </w:rPr>
              <w:t>查看资金账户和链上记录</w:t>
            </w:r>
          </w:p>
        </w:tc>
        <w:tc>
          <w:tcPr>
            <w:tcW w:type="dxa" w:w="42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9"/>
              </w:rPr>
              <w:t>观察融资到账、智能合约收款以及交易从待确认到已确认的变化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rPr>
          <w:cantSplit w:val="1"/>
        </w:trPr>
        <w:tc>
          <w:tcPr>
            <w:tcW w:type="dxa" w:w="9746"/>
            <w:shd w:fill="F4F6F8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Arial" w:hAnsi="Arial" w:eastAsia="Noto Sans CJK SC"/>
                <w:b/>
                <w:color w:val="374150"/>
                <w:sz w:val="20"/>
              </w:rPr>
              <w:t>融资并非必选：</w:t>
            </w:r>
            <w:r>
              <w:rPr>
                <w:rFonts w:ascii="Arial" w:hAnsi="Arial" w:eastAsia="Noto Sans CJK SC"/>
                <w:b w:val="0"/>
                <w:color w:val="464646"/>
                <w:sz w:val="20"/>
              </w:rPr>
              <w:t>可以申请融资，也可以不融资直接发货。系统评价不会因为你没有申请融资而简单扣分，只要采购业务继续合理推进。</w:t>
            </w:r>
          </w:p>
        </w:tc>
      </w:tr>
    </w:tbl>
    <w:p>
      <w:pPr>
        <w:spacing w:after="0"/>
      </w:pPr>
    </w:p>
    <w:p>
      <w:pPr>
        <w:pStyle w:val="Heading2"/>
        <w:spacing w:before="100" w:after="100"/>
      </w:pPr>
      <w:r>
        <w:rPr>
          <w:rFonts w:ascii="Arial" w:hAnsi="Arial" w:eastAsia="Noto Sans CJK SC"/>
          <w:b/>
          <w:sz w:val="26"/>
        </w:rPr>
        <w:t>（二）制造商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  <w:cantSplit w:val="1"/>
        </w:trPr>
        <w:tc>
          <w:tcPr>
            <w:tcW w:type="dxa" w:w="1134"/>
            <w:shd w:fill="E9EDF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283241"/>
                <w:sz w:val="19"/>
              </w:rPr>
              <w:t>顺序</w:t>
            </w:r>
          </w:p>
        </w:tc>
        <w:tc>
          <w:tcPr>
            <w:tcW w:type="dxa" w:w="4082"/>
            <w:shd w:fill="E9EDF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283241"/>
                <w:sz w:val="19"/>
              </w:rPr>
              <w:t>你要做什么</w:t>
            </w:r>
          </w:p>
        </w:tc>
        <w:tc>
          <w:tcPr>
            <w:tcW w:type="dxa" w:w="4139"/>
            <w:shd w:fill="E9EDF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283241"/>
                <w:sz w:val="19"/>
              </w:rPr>
              <w:t>操作后的系统效果</w:t>
            </w:r>
          </w:p>
        </w:tc>
      </w:tr>
      <w:tr>
        <w:trPr>
          <w:cantSplit w:val="1"/>
        </w:trPr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9"/>
              </w:rPr>
              <w:t>1</w:t>
            </w:r>
          </w:p>
        </w:tc>
        <w:tc>
          <w:tcPr>
            <w:tcW w:type="dxa" w:w="408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9"/>
              </w:rPr>
              <w:t>查看供应商报价并选择“接受”或“拒绝”</w:t>
            </w:r>
          </w:p>
        </w:tc>
        <w:tc>
          <w:tcPr>
            <w:tcW w:type="dxa" w:w="413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9"/>
              </w:rPr>
              <w:t>接受后形成正式采购订单；同时形成采购确认链上交易</w:t>
            </w:r>
          </w:p>
        </w:tc>
      </w:tr>
      <w:tr>
        <w:trPr>
          <w:cantSplit w:val="1"/>
        </w:trPr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9"/>
              </w:rPr>
              <w:t>2</w:t>
            </w:r>
          </w:p>
        </w:tc>
        <w:tc>
          <w:tcPr>
            <w:tcW w:type="dxa" w:w="408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9"/>
              </w:rPr>
              <w:t>等待供应商发货</w:t>
            </w:r>
          </w:p>
        </w:tc>
        <w:tc>
          <w:tcPr>
            <w:tcW w:type="dxa" w:w="413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9"/>
              </w:rPr>
              <w:t>供应商发货后，采购订单状态变为已发货</w:t>
            </w:r>
          </w:p>
        </w:tc>
      </w:tr>
      <w:tr>
        <w:trPr>
          <w:cantSplit w:val="1"/>
        </w:trPr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9"/>
              </w:rPr>
              <w:t>3</w:t>
            </w:r>
          </w:p>
        </w:tc>
        <w:tc>
          <w:tcPr>
            <w:tcW w:type="dxa" w:w="408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9"/>
              </w:rPr>
              <w:t>验收货物：录入实际收到数量并选择质量是否合格</w:t>
            </w:r>
          </w:p>
        </w:tc>
        <w:tc>
          <w:tcPr>
            <w:tcW w:type="dxa" w:w="413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9"/>
              </w:rPr>
              <w:t>系统自动判断智能合约条件</w:t>
            </w:r>
          </w:p>
        </w:tc>
      </w:tr>
      <w:tr>
        <w:trPr>
          <w:cantSplit w:val="1"/>
        </w:trPr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9"/>
              </w:rPr>
              <w:t>4</w:t>
            </w:r>
          </w:p>
        </w:tc>
        <w:tc>
          <w:tcPr>
            <w:tcW w:type="dxa" w:w="408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9"/>
              </w:rPr>
              <w:t>观察智能合约执行</w:t>
            </w:r>
          </w:p>
        </w:tc>
        <w:tc>
          <w:tcPr>
            <w:tcW w:type="dxa" w:w="413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9"/>
              </w:rPr>
              <w:t>数量、质量等条件满足且余额充足时自动付款；否则形成验收异常或付款异常</w:t>
            </w:r>
          </w:p>
        </w:tc>
      </w:tr>
      <w:tr>
        <w:trPr>
          <w:cantSplit w:val="1"/>
        </w:trPr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9"/>
              </w:rPr>
              <w:t>5</w:t>
            </w:r>
          </w:p>
        </w:tc>
        <w:tc>
          <w:tcPr>
            <w:tcW w:type="dxa" w:w="408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9"/>
              </w:rPr>
              <w:t>上游业务完成后发布成品销售报价</w:t>
            </w:r>
          </w:p>
        </w:tc>
        <w:tc>
          <w:tcPr>
            <w:tcW w:type="dxa" w:w="413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9"/>
              </w:rPr>
              <w:t>经销商可以看到报价并选择接受或拒绝</w:t>
            </w:r>
          </w:p>
        </w:tc>
      </w:tr>
      <w:tr>
        <w:trPr>
          <w:cantSplit w:val="1"/>
        </w:trPr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9"/>
              </w:rPr>
              <w:t>6</w:t>
            </w:r>
          </w:p>
        </w:tc>
        <w:tc>
          <w:tcPr>
            <w:tcW w:type="dxa" w:w="408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9"/>
              </w:rPr>
              <w:t>经销商接受后确认下游销售订单发货</w:t>
            </w:r>
          </w:p>
        </w:tc>
        <w:tc>
          <w:tcPr>
            <w:tcW w:type="dxa" w:w="413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9"/>
              </w:rPr>
              <w:t>下游订单变为已发货，并产生下游发货链上交易</w:t>
            </w:r>
          </w:p>
        </w:tc>
      </w:tr>
      <w:tr>
        <w:trPr>
          <w:cantSplit w:val="1"/>
        </w:trPr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9"/>
              </w:rPr>
              <w:t>7</w:t>
            </w:r>
          </w:p>
        </w:tc>
        <w:tc>
          <w:tcPr>
            <w:tcW w:type="dxa" w:w="408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9"/>
              </w:rPr>
              <w:t>等待经销商收货和付款</w:t>
            </w:r>
          </w:p>
        </w:tc>
        <w:tc>
          <w:tcPr>
            <w:tcW w:type="dxa" w:w="413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9"/>
              </w:rPr>
              <w:t>收货后经销商支付货款，制造商账户收到销售货款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rPr>
          <w:cantSplit w:val="1"/>
        </w:trPr>
        <w:tc>
          <w:tcPr>
            <w:tcW w:type="dxa" w:w="9746"/>
            <w:shd w:fill="F4F6F8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Arial" w:hAnsi="Arial" w:eastAsia="Noto Sans CJK SC"/>
                <w:b/>
                <w:color w:val="374150"/>
                <w:sz w:val="20"/>
              </w:rPr>
              <w:t>验收是关键教学环节：</w:t>
            </w:r>
            <w:r>
              <w:rPr>
                <w:rFonts w:ascii="Arial" w:hAnsi="Arial" w:eastAsia="Noto Sans CJK SC"/>
                <w:b w:val="0"/>
                <w:color w:val="464646"/>
                <w:sz w:val="20"/>
              </w:rPr>
              <w:t>智能合约不是“自动做任何事情”，而是在预先约定条件满足时执行付款。请观察数量、质量和资金余额如何影响执行结果。</w:t>
            </w:r>
          </w:p>
        </w:tc>
      </w:tr>
    </w:tbl>
    <w:p>
      <w:pPr>
        <w:spacing w:after="0"/>
      </w:pPr>
    </w:p>
    <w:p>
      <w:pPr>
        <w:pStyle w:val="Heading2"/>
        <w:spacing w:before="100" w:after="100"/>
      </w:pPr>
      <w:r>
        <w:rPr>
          <w:rFonts w:ascii="Arial" w:hAnsi="Arial" w:eastAsia="Noto Sans CJK SC"/>
          <w:b/>
          <w:sz w:val="26"/>
        </w:rPr>
        <w:t>（三）经销商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  <w:cantSplit w:val="1"/>
        </w:trPr>
        <w:tc>
          <w:tcPr>
            <w:tcW w:type="dxa" w:w="1134"/>
            <w:shd w:fill="E9EDF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283241"/>
                <w:sz w:val="19"/>
              </w:rPr>
              <w:t>顺序</w:t>
            </w:r>
          </w:p>
        </w:tc>
        <w:tc>
          <w:tcPr>
            <w:tcW w:type="dxa" w:w="3969"/>
            <w:shd w:fill="E9EDF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283241"/>
                <w:sz w:val="19"/>
              </w:rPr>
              <w:t>你要做什么</w:t>
            </w:r>
          </w:p>
        </w:tc>
        <w:tc>
          <w:tcPr>
            <w:tcW w:type="dxa" w:w="4252"/>
            <w:shd w:fill="E9EDF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283241"/>
                <w:sz w:val="19"/>
              </w:rPr>
              <w:t>操作后的系统效果</w:t>
            </w:r>
          </w:p>
        </w:tc>
      </w:tr>
      <w:tr>
        <w:trPr>
          <w:cantSplit w:val="1"/>
        </w:trPr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9"/>
              </w:rPr>
              <w:t>1</w:t>
            </w:r>
          </w:p>
        </w:tc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9"/>
              </w:rPr>
              <w:t>等待制造商发布下游销售报价</w:t>
            </w:r>
          </w:p>
        </w:tc>
        <w:tc>
          <w:tcPr>
            <w:tcW w:type="dxa" w:w="42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9"/>
              </w:rPr>
              <w:t>报价出现后可以查看价格、数量和交货期</w:t>
            </w:r>
          </w:p>
        </w:tc>
      </w:tr>
      <w:tr>
        <w:trPr>
          <w:cantSplit w:val="1"/>
        </w:trPr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9"/>
              </w:rPr>
              <w:t>2</w:t>
            </w:r>
          </w:p>
        </w:tc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9"/>
              </w:rPr>
              <w:t>选择“接受”或“拒绝”销售报价</w:t>
            </w:r>
          </w:p>
        </w:tc>
        <w:tc>
          <w:tcPr>
            <w:tcW w:type="dxa" w:w="42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9"/>
              </w:rPr>
              <w:t>接受后形成下游销售订单，并产生销售订单确认链上交易</w:t>
            </w:r>
          </w:p>
        </w:tc>
      </w:tr>
      <w:tr>
        <w:trPr>
          <w:cantSplit w:val="1"/>
        </w:trPr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9"/>
              </w:rPr>
              <w:t>3</w:t>
            </w:r>
          </w:p>
        </w:tc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9"/>
              </w:rPr>
              <w:t>等待制造商发货</w:t>
            </w:r>
          </w:p>
        </w:tc>
        <w:tc>
          <w:tcPr>
            <w:tcW w:type="dxa" w:w="42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9"/>
              </w:rPr>
              <w:t>制造商发货后订单变为已发货</w:t>
            </w:r>
          </w:p>
        </w:tc>
      </w:tr>
      <w:tr>
        <w:trPr>
          <w:cantSplit w:val="1"/>
        </w:trPr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9"/>
              </w:rPr>
              <w:t>4</w:t>
            </w:r>
          </w:p>
        </w:tc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9"/>
              </w:rPr>
              <w:t>确认收货</w:t>
            </w:r>
          </w:p>
        </w:tc>
        <w:tc>
          <w:tcPr>
            <w:tcW w:type="dxa" w:w="42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9"/>
              </w:rPr>
              <w:t>订单变为已收货，并产生收货链上交易</w:t>
            </w:r>
          </w:p>
        </w:tc>
      </w:tr>
      <w:tr>
        <w:trPr>
          <w:cantSplit w:val="1"/>
        </w:trPr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9"/>
              </w:rPr>
              <w:t>5</w:t>
            </w:r>
          </w:p>
        </w:tc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9"/>
              </w:rPr>
              <w:t>支付货款</w:t>
            </w:r>
          </w:p>
        </w:tc>
        <w:tc>
          <w:tcPr>
            <w:tcW w:type="dxa" w:w="42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9"/>
              </w:rPr>
              <w:t>经销商账户扣款、制造商账户收款，形成资金流水和销售付款链上交易</w:t>
            </w:r>
          </w:p>
        </w:tc>
      </w:tr>
      <w:tr>
        <w:trPr>
          <w:cantSplit w:val="1"/>
        </w:trPr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9"/>
              </w:rPr>
              <w:t>6</w:t>
            </w:r>
          </w:p>
        </w:tc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9"/>
              </w:rPr>
              <w:t>查看资金和链上记录</w:t>
            </w:r>
          </w:p>
        </w:tc>
        <w:tc>
          <w:tcPr>
            <w:tcW w:type="dxa" w:w="42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9"/>
              </w:rPr>
              <w:t>理解下游交易履约与可追溯记录之间的关系</w:t>
            </w:r>
          </w:p>
        </w:tc>
      </w:tr>
    </w:tbl>
    <w:p>
      <w:pPr>
        <w:spacing w:after="20"/>
      </w:pPr>
    </w:p>
    <w:p>
      <w:pPr>
        <w:pStyle w:val="Heading2"/>
        <w:spacing w:before="100" w:after="100"/>
      </w:pPr>
      <w:r>
        <w:rPr>
          <w:rFonts w:ascii="Arial" w:hAnsi="Arial" w:eastAsia="Noto Sans CJK SC"/>
          <w:b/>
          <w:sz w:val="26"/>
        </w:rPr>
        <w:t>（四）银行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  <w:cantSplit w:val="1"/>
        </w:trPr>
        <w:tc>
          <w:tcPr>
            <w:tcW w:type="dxa" w:w="1134"/>
            <w:shd w:fill="E9EDF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283241"/>
                <w:sz w:val="19"/>
              </w:rPr>
              <w:t>顺序</w:t>
            </w:r>
          </w:p>
        </w:tc>
        <w:tc>
          <w:tcPr>
            <w:tcW w:type="dxa" w:w="4082"/>
            <w:shd w:fill="E9EDF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283241"/>
                <w:sz w:val="19"/>
              </w:rPr>
              <w:t>你要做什么</w:t>
            </w:r>
          </w:p>
        </w:tc>
        <w:tc>
          <w:tcPr>
            <w:tcW w:type="dxa" w:w="4139"/>
            <w:shd w:fill="E9EDF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283241"/>
                <w:sz w:val="19"/>
              </w:rPr>
              <w:t>操作后的系统效果</w:t>
            </w:r>
          </w:p>
        </w:tc>
      </w:tr>
      <w:tr>
        <w:trPr>
          <w:cantSplit w:val="1"/>
        </w:trPr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9"/>
              </w:rPr>
              <w:t>1</w:t>
            </w:r>
          </w:p>
        </w:tc>
        <w:tc>
          <w:tcPr>
            <w:tcW w:type="dxa" w:w="408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9"/>
              </w:rPr>
              <w:t>等待供应商提交订单融资申请</w:t>
            </w:r>
          </w:p>
        </w:tc>
        <w:tc>
          <w:tcPr>
            <w:tcW w:type="dxa" w:w="413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9"/>
              </w:rPr>
              <w:t>融资审核中心出现申请记录</w:t>
            </w:r>
          </w:p>
        </w:tc>
      </w:tr>
      <w:tr>
        <w:trPr>
          <w:cantSplit w:val="1"/>
        </w:trPr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9"/>
              </w:rPr>
              <w:t>2</w:t>
            </w:r>
          </w:p>
        </w:tc>
        <w:tc>
          <w:tcPr>
            <w:tcW w:type="dxa" w:w="408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9"/>
              </w:rPr>
              <w:t>进入融资审核页面查看订单和链上验证信息</w:t>
            </w:r>
          </w:p>
        </w:tc>
        <w:tc>
          <w:tcPr>
            <w:tcW w:type="dxa" w:w="413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9"/>
              </w:rPr>
              <w:t>利用可信订单信息辅助融资决策</w:t>
            </w:r>
          </w:p>
        </w:tc>
      </w:tr>
      <w:tr>
        <w:trPr>
          <w:cantSplit w:val="1"/>
        </w:trPr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9"/>
              </w:rPr>
              <w:t>3</w:t>
            </w:r>
          </w:p>
        </w:tc>
        <w:tc>
          <w:tcPr>
            <w:tcW w:type="dxa" w:w="408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9"/>
              </w:rPr>
              <w:t>选择批准或拒绝，并填写审核说明</w:t>
            </w:r>
          </w:p>
        </w:tc>
        <w:tc>
          <w:tcPr>
            <w:tcW w:type="dxa" w:w="413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9"/>
              </w:rPr>
              <w:t>批准：银行向供应商放款并记录资金流水；拒绝：不发生放款</w:t>
            </w:r>
          </w:p>
        </w:tc>
      </w:tr>
      <w:tr>
        <w:trPr>
          <w:cantSplit w:val="1"/>
        </w:trPr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9"/>
              </w:rPr>
              <w:t>4</w:t>
            </w:r>
          </w:p>
        </w:tc>
        <w:tc>
          <w:tcPr>
            <w:tcW w:type="dxa" w:w="408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9"/>
              </w:rPr>
              <w:t>查看银行账户余额</w:t>
            </w:r>
          </w:p>
        </w:tc>
        <w:tc>
          <w:tcPr>
            <w:tcW w:type="dxa" w:w="413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9"/>
              </w:rPr>
              <w:t>批准融资后银行余额下降，供应商余额增加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rPr>
          <w:cantSplit w:val="1"/>
        </w:trPr>
        <w:tc>
          <w:tcPr>
            <w:tcW w:type="dxa" w:w="9746"/>
            <w:shd w:fill="F4F6F8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Arial" w:hAnsi="Arial" w:eastAsia="Noto Sans CJK SC"/>
                <w:b/>
                <w:color w:val="374150"/>
                <w:sz w:val="20"/>
              </w:rPr>
              <w:t>批准和拒绝都可以是有效决策：</w:t>
            </w:r>
            <w:r>
              <w:rPr>
                <w:rFonts w:ascii="Arial" w:hAnsi="Arial" w:eastAsia="Noto Sans CJK SC"/>
                <w:b w:val="0"/>
                <w:color w:val="464646"/>
                <w:sz w:val="20"/>
              </w:rPr>
              <w:t>系统不要求银行必须批准融资。课堂重点是基于订单、链上信息和资金情况作出有理由的判断。</w:t>
            </w:r>
          </w:p>
        </w:tc>
      </w:tr>
    </w:tbl>
    <w:p>
      <w:pPr>
        <w:spacing w:after="0"/>
      </w:pPr>
    </w:p>
    <w:p>
      <w:pPr>
        <w:pStyle w:val="Heading1"/>
        <w:spacing w:before="160" w:after="100"/>
      </w:pPr>
      <w:r>
        <w:rPr>
          <w:rFonts w:ascii="Arial" w:hAnsi="Arial" w:eastAsia="Noto Sans CJK SC"/>
          <w:b/>
          <w:sz w:val="32"/>
        </w:rPr>
        <w:t>五、每一步业务操作会产生什么效果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 w:val="true"/>
          <w:cantSplit w:val="1"/>
        </w:trPr>
        <w:tc>
          <w:tcPr>
            <w:tcW w:type="dxa" w:w="2438"/>
            <w:shd w:fill="E9EDF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283241"/>
                <w:sz w:val="17"/>
              </w:rPr>
              <w:t>业务操作</w:t>
            </w:r>
          </w:p>
        </w:tc>
        <w:tc>
          <w:tcPr>
            <w:tcW w:type="dxa" w:w="2835"/>
            <w:shd w:fill="E9EDF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283241"/>
                <w:sz w:val="17"/>
              </w:rPr>
              <w:t>业务状态变化</w:t>
            </w:r>
          </w:p>
        </w:tc>
        <w:tc>
          <w:tcPr>
            <w:tcW w:type="dxa" w:w="2268"/>
            <w:shd w:fill="E9EDF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283241"/>
                <w:sz w:val="17"/>
              </w:rPr>
              <w:t>资金变化</w:t>
            </w:r>
          </w:p>
        </w:tc>
        <w:tc>
          <w:tcPr>
            <w:tcW w:type="dxa" w:w="2381"/>
            <w:shd w:fill="E9EDF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283241"/>
                <w:sz w:val="17"/>
              </w:rPr>
              <w:t>链上变化</w:t>
            </w:r>
          </w:p>
        </w:tc>
      </w:tr>
      <w:tr>
        <w:trPr>
          <w:cantSplit w:val="1"/>
        </w:trPr>
        <w:tc>
          <w:tcPr>
            <w:tcW w:type="dxa" w:w="243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7"/>
              </w:rPr>
              <w:t>制造商接受上游报价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7"/>
              </w:rPr>
              <w:t>形成采购订单和智能合约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7"/>
              </w:rPr>
              <w:t>无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7"/>
              </w:rPr>
              <w:t>采购订单确认交易（待确认）</w:t>
            </w:r>
          </w:p>
        </w:tc>
      </w:tr>
      <w:tr>
        <w:trPr>
          <w:cantSplit w:val="1"/>
        </w:trPr>
        <w:tc>
          <w:tcPr>
            <w:tcW w:type="dxa" w:w="243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7"/>
              </w:rPr>
              <w:t>银行批准融资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7"/>
              </w:rPr>
              <w:t>融资状态变为已批准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7"/>
              </w:rPr>
              <w:t>银行→供应商放款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7"/>
              </w:rPr>
              <w:t>融资批准交易（待确认）</w:t>
            </w:r>
          </w:p>
        </w:tc>
      </w:tr>
      <w:tr>
        <w:trPr>
          <w:cantSplit w:val="1"/>
        </w:trPr>
        <w:tc>
          <w:tcPr>
            <w:tcW w:type="dxa" w:w="243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7"/>
              </w:rPr>
              <w:t>供应商发货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7"/>
              </w:rPr>
              <w:t>采购订单变为已发货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7"/>
              </w:rPr>
              <w:t>无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7"/>
              </w:rPr>
              <w:t>订单发货交易（待确认）</w:t>
            </w:r>
          </w:p>
        </w:tc>
      </w:tr>
      <w:tr>
        <w:trPr>
          <w:cantSplit w:val="1"/>
        </w:trPr>
        <w:tc>
          <w:tcPr>
            <w:tcW w:type="dxa" w:w="243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7"/>
              </w:rPr>
              <w:t>制造商验收通过且资金充足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7"/>
              </w:rPr>
              <w:t>采购订单变为已付款，智能合约已执行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7"/>
              </w:rPr>
              <w:t>制造商→供应商付款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7"/>
              </w:rPr>
              <w:t>验收 + 智能合约付款交易</w:t>
            </w:r>
          </w:p>
        </w:tc>
      </w:tr>
      <w:tr>
        <w:trPr>
          <w:cantSplit w:val="1"/>
        </w:trPr>
        <w:tc>
          <w:tcPr>
            <w:tcW w:type="dxa" w:w="243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7"/>
              </w:rPr>
              <w:t>经销商接受销售报价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7"/>
              </w:rPr>
              <w:t>形成下游销售订单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7"/>
              </w:rPr>
              <w:t>无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7"/>
              </w:rPr>
              <w:t>销售订单确认交易</w:t>
            </w:r>
          </w:p>
        </w:tc>
      </w:tr>
      <w:tr>
        <w:trPr>
          <w:cantSplit w:val="1"/>
        </w:trPr>
        <w:tc>
          <w:tcPr>
            <w:tcW w:type="dxa" w:w="243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7"/>
              </w:rPr>
              <w:t>制造商下游发货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7"/>
              </w:rPr>
              <w:t>销售订单变为已发货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7"/>
              </w:rPr>
              <w:t>无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7"/>
              </w:rPr>
              <w:t>下游发货交易</w:t>
            </w:r>
          </w:p>
        </w:tc>
      </w:tr>
      <w:tr>
        <w:trPr>
          <w:cantSplit w:val="1"/>
        </w:trPr>
        <w:tc>
          <w:tcPr>
            <w:tcW w:type="dxa" w:w="243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7"/>
              </w:rPr>
              <w:t>经销商确认收货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7"/>
              </w:rPr>
              <w:t>销售订单变为已收货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7"/>
              </w:rPr>
              <w:t>无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7"/>
              </w:rPr>
              <w:t>收货交易</w:t>
            </w:r>
          </w:p>
        </w:tc>
      </w:tr>
      <w:tr>
        <w:trPr>
          <w:cantSplit w:val="1"/>
        </w:trPr>
        <w:tc>
          <w:tcPr>
            <w:tcW w:type="dxa" w:w="243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7"/>
              </w:rPr>
              <w:t>经销商支付货款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7"/>
              </w:rPr>
              <w:t>销售订单变为已付款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7"/>
              </w:rPr>
              <w:t>经销商→制造商付款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7"/>
              </w:rPr>
              <w:t>销售付款交易</w:t>
            </w:r>
          </w:p>
        </w:tc>
      </w:tr>
      <w:tr>
        <w:trPr>
          <w:cantSplit w:val="1"/>
        </w:trPr>
        <w:tc>
          <w:tcPr>
            <w:tcW w:type="dxa" w:w="243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7"/>
              </w:rPr>
              <w:t>教师模拟网络确认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7"/>
              </w:rPr>
              <w:t>业务状态不再改变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7"/>
              </w:rPr>
              <w:t>无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7"/>
              </w:rPr>
              <w:t>待确认交易→已确认，并打包生成新区块</w:t>
            </w:r>
          </w:p>
        </w:tc>
      </w:tr>
    </w:tbl>
    <w:p>
      <w:pPr>
        <w:spacing w:after="20"/>
      </w:pPr>
    </w:p>
    <w:p>
      <w:pPr>
        <w:pStyle w:val="Heading1"/>
        <w:spacing w:before="160" w:after="100"/>
      </w:pPr>
      <w:r>
        <w:rPr>
          <w:rFonts w:ascii="Arial" w:hAnsi="Arial" w:eastAsia="Noto Sans CJK SC"/>
          <w:b/>
          <w:sz w:val="32"/>
        </w:rPr>
        <w:t>六、如何理解资金账户</w:t>
      </w:r>
    </w:p>
    <w:p>
      <w:r>
        <w:rPr>
          <w:rFonts w:ascii="Arial" w:hAnsi="Arial" w:eastAsia="Noto Sans CJK SC"/>
          <w:b w:val="0"/>
          <w:sz w:val="21"/>
        </w:rPr>
        <w:t>每个角色都有沙盘资金账户。系统记录初始资金、当前余额和资金流水。当前预设初始资金为：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  <w:cantSplit w:val="1"/>
        </w:trPr>
        <w:tc>
          <w:tcPr>
            <w:tcW w:type="dxa" w:w="3402"/>
            <w:shd w:fill="E9EDF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283241"/>
                <w:sz w:val="19"/>
              </w:rPr>
              <w:t>角色</w:t>
            </w:r>
          </w:p>
        </w:tc>
        <w:tc>
          <w:tcPr>
            <w:tcW w:type="dxa" w:w="3402"/>
            <w:shd w:fill="E9EDF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283241"/>
                <w:sz w:val="19"/>
              </w:rPr>
              <w:t>初始资金</w:t>
            </w:r>
          </w:p>
        </w:tc>
      </w:tr>
      <w:tr>
        <w:trPr>
          <w:cantSplit w:val="1"/>
        </w:trPr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9"/>
              </w:rPr>
              <w:t>供应商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9"/>
              </w:rPr>
              <w:t>20,000 元</w:t>
            </w:r>
          </w:p>
        </w:tc>
      </w:tr>
      <w:tr>
        <w:trPr>
          <w:cantSplit w:val="1"/>
        </w:trPr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9"/>
              </w:rPr>
              <w:t>制造商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9"/>
              </w:rPr>
              <w:t>500,000 元</w:t>
            </w:r>
          </w:p>
        </w:tc>
      </w:tr>
      <w:tr>
        <w:trPr>
          <w:cantSplit w:val="1"/>
        </w:trPr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9"/>
              </w:rPr>
              <w:t>经销商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9"/>
              </w:rPr>
              <w:t>300,000 元</w:t>
            </w:r>
          </w:p>
        </w:tc>
      </w:tr>
      <w:tr>
        <w:trPr>
          <w:cantSplit w:val="1"/>
        </w:trPr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9"/>
              </w:rPr>
              <w:t>银行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9"/>
              </w:rPr>
              <w:t>1,000,000 元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rPr>
          <w:cantSplit w:val="1"/>
        </w:trPr>
        <w:tc>
          <w:tcPr>
            <w:tcW w:type="dxa" w:w="9746"/>
            <w:shd w:fill="F4F6F8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Arial" w:hAnsi="Arial" w:eastAsia="Noto Sans CJK SC"/>
                <w:b/>
                <w:color w:val="374150"/>
                <w:sz w:val="20"/>
              </w:rPr>
              <w:t>不要把余额增加直接理解成利润：</w:t>
            </w:r>
            <w:r>
              <w:rPr>
                <w:rFonts w:ascii="Arial" w:hAnsi="Arial" w:eastAsia="Noto Sans CJK SC"/>
                <w:b w:val="0"/>
                <w:color w:val="464646"/>
                <w:sz w:val="20"/>
              </w:rPr>
              <w:t>例如供应商收到银行融资时，现金余额会上升，但这是融资资金，不是经营利润。课堂中要区分经营收付款与融资资金。</w:t>
            </w:r>
          </w:p>
        </w:tc>
      </w:tr>
    </w:tbl>
    <w:p>
      <w:pPr>
        <w:spacing w:after="0"/>
      </w:pPr>
    </w:p>
    <w:p>
      <w:pPr>
        <w:pStyle w:val="Heading1"/>
        <w:spacing w:before="160" w:after="100"/>
      </w:pPr>
      <w:r>
        <w:rPr>
          <w:rFonts w:ascii="Arial" w:hAnsi="Arial" w:eastAsia="Noto Sans CJK SC"/>
          <w:b/>
          <w:sz w:val="32"/>
        </w:rPr>
        <w:t>七、如何理解“待确认、已确认和区块”</w:t>
      </w:r>
    </w:p>
    <w:p>
      <w:pPr>
        <w:pStyle w:val="ListBullet"/>
        <w:spacing w:after="40"/>
      </w:pPr>
      <w:r>
        <w:rPr>
          <w:rFonts w:ascii="Arial" w:hAnsi="Arial" w:eastAsia="Noto Sans CJK SC"/>
          <w:b w:val="0"/>
          <w:sz w:val="21"/>
        </w:rPr>
        <w:t>待确认（pending）：业务已经发生，并已经形成一条链上交易记录，但教师还没有模拟网络确认。</w:t>
      </w:r>
    </w:p>
    <w:p>
      <w:pPr>
        <w:pStyle w:val="ListBullet"/>
        <w:spacing w:after="40"/>
      </w:pPr>
      <w:r>
        <w:rPr>
          <w:rFonts w:ascii="Arial" w:hAnsi="Arial" w:eastAsia="Noto Sans CJK SC"/>
          <w:b w:val="0"/>
          <w:sz w:val="21"/>
        </w:rPr>
        <w:t>已确认（confirmed）：教师完成模拟网络确认，该交易被区块链网络接受。</w:t>
      </w:r>
    </w:p>
    <w:p>
      <w:pPr>
        <w:pStyle w:val="ListBullet"/>
        <w:spacing w:after="40"/>
      </w:pPr>
      <w:r>
        <w:rPr>
          <w:rFonts w:ascii="Arial" w:hAnsi="Arial" w:eastAsia="Noto Sans CJK SC"/>
          <w:b w:val="0"/>
          <w:sz w:val="21"/>
        </w:rPr>
        <w:t>区块：教师确认后，系统把该小组的待确认交易打包生成新区块，并记录 Previous Hash 和 Block Hash。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rPr>
          <w:cantSplit w:val="1"/>
        </w:trPr>
        <w:tc>
          <w:tcPr>
            <w:tcW w:type="dxa" w:w="9746"/>
            <w:shd w:fill="F4F6F8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Arial" w:hAnsi="Arial" w:eastAsia="Noto Sans CJK SC"/>
                <w:b/>
                <w:color w:val="374150"/>
                <w:sz w:val="20"/>
              </w:rPr>
              <w:t>课堂重点：</w:t>
            </w:r>
            <w:r>
              <w:rPr>
                <w:rFonts w:ascii="Arial" w:hAnsi="Arial" w:eastAsia="Noto Sans CJK SC"/>
                <w:b w:val="0"/>
                <w:color w:val="464646"/>
                <w:sz w:val="20"/>
              </w:rPr>
              <w:t>业务操作发生在前，网络确认发生在后。区块链不能替代业务本身，而是对已经形成的业务事件进行可信记录和确认。</w:t>
            </w:r>
          </w:p>
        </w:tc>
      </w:tr>
    </w:tbl>
    <w:p>
      <w:pPr>
        <w:spacing w:after="0"/>
      </w:pPr>
    </w:p>
    <w:p>
      <w:pPr>
        <w:pStyle w:val="Heading1"/>
        <w:spacing w:before="160" w:after="100"/>
      </w:pPr>
      <w:r>
        <w:rPr>
          <w:rFonts w:ascii="Arial" w:hAnsi="Arial" w:eastAsia="Noto Sans CJK SC"/>
          <w:b/>
          <w:sz w:val="32"/>
        </w:rPr>
        <w:t>八、区块浏览器和篡改演示怎么用</w:t>
      </w:r>
    </w:p>
    <w:p>
      <w:pPr>
        <w:pStyle w:val="ListNumber"/>
        <w:spacing w:after="40"/>
      </w:pPr>
      <w:r>
        <w:rPr>
          <w:rFonts w:ascii="Arial" w:hAnsi="Arial" w:eastAsia="Noto Sans CJK SC"/>
          <w:b w:val="0"/>
          <w:sz w:val="21"/>
        </w:rPr>
        <w:t>在供应商、制造商或经销商工作台中打开“区块浏览器”。</w:t>
      </w:r>
    </w:p>
    <w:p>
      <w:pPr>
        <w:pStyle w:val="ListNumber"/>
        <w:spacing w:after="40"/>
      </w:pPr>
      <w:r>
        <w:rPr>
          <w:rFonts w:ascii="Arial" w:hAnsi="Arial" w:eastAsia="Noto Sans CJK SC"/>
          <w:b w:val="0"/>
          <w:sz w:val="21"/>
        </w:rPr>
        <w:t>观察区块编号、包含交易、前一区块哈希（Previous Hash）和当前区块哈希（Block Hash）。</w:t>
      </w:r>
    </w:p>
    <w:p>
      <w:pPr>
        <w:pStyle w:val="ListNumber"/>
        <w:spacing w:after="40"/>
      </w:pPr>
      <w:r>
        <w:rPr>
          <w:rFonts w:ascii="Arial" w:hAnsi="Arial" w:eastAsia="Noto Sans CJK SC"/>
          <w:b w:val="0"/>
          <w:sz w:val="21"/>
        </w:rPr>
        <w:t>使用完整性验证功能，理解前后区块如何通过哈希关联。</w:t>
      </w:r>
    </w:p>
    <w:p>
      <w:pPr>
        <w:pStyle w:val="ListNumber"/>
        <w:spacing w:after="40"/>
      </w:pPr>
      <w:r>
        <w:rPr>
          <w:rFonts w:ascii="Arial" w:hAnsi="Arial" w:eastAsia="Noto Sans CJK SC"/>
          <w:b w:val="0"/>
          <w:sz w:val="21"/>
        </w:rPr>
        <w:t>在教师安排下进入篡改演示，观察一条交易内容发生变化后，哈希校验和区块链完整性为什么会出现异常。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rPr>
          <w:cantSplit w:val="1"/>
        </w:trPr>
        <w:tc>
          <w:tcPr>
            <w:tcW w:type="dxa" w:w="9746"/>
            <w:shd w:fill="F4F6F8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Arial" w:hAnsi="Arial" w:eastAsia="Noto Sans CJK SC"/>
                <w:b/>
                <w:color w:val="374150"/>
                <w:sz w:val="20"/>
              </w:rPr>
              <w:t>学习目标：</w:t>
            </w:r>
            <w:r>
              <w:rPr>
                <w:rFonts w:ascii="Arial" w:hAnsi="Arial" w:eastAsia="Noto Sans CJK SC"/>
                <w:b w:val="0"/>
                <w:color w:val="464646"/>
                <w:sz w:val="20"/>
              </w:rPr>
              <w:t>重点不是记住哈希字符串，而是理解“交易内容变化—哈希变化—链式关系被破坏—系统可检测”的机制。</w:t>
            </w:r>
          </w:p>
        </w:tc>
      </w:tr>
    </w:tbl>
    <w:p>
      <w:pPr>
        <w:spacing w:after="0"/>
      </w:pPr>
    </w:p>
    <w:p>
      <w:pPr>
        <w:pStyle w:val="Heading1"/>
        <w:spacing w:before="160" w:after="100"/>
      </w:pPr>
      <w:r>
        <w:rPr>
          <w:rFonts w:ascii="Arial" w:hAnsi="Arial" w:eastAsia="Noto Sans CJK SC"/>
          <w:b/>
          <w:sz w:val="32"/>
        </w:rPr>
        <w:t>九、实验结束后看什么</w:t>
      </w:r>
    </w:p>
    <w:p>
      <w:r>
        <w:rPr>
          <w:rFonts w:ascii="Arial" w:hAnsi="Arial" w:eastAsia="Noto Sans CJK SC"/>
          <w:b w:val="0"/>
          <w:sz w:val="21"/>
        </w:rPr>
        <w:t>教师结束实验后，工作台进入只读状态，并开放“本组实验结果与学习反馈”。同组四个角色看到同一份小组级评价。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  <w:cantSplit w:val="1"/>
        </w:trPr>
        <w:tc>
          <w:tcPr>
            <w:tcW w:type="dxa" w:w="2268"/>
            <w:shd w:fill="E9EDF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283241"/>
                <w:sz w:val="19"/>
              </w:rPr>
              <w:t>评价维度</w:t>
            </w:r>
          </w:p>
        </w:tc>
        <w:tc>
          <w:tcPr>
            <w:tcW w:type="dxa" w:w="1247"/>
            <w:shd w:fill="E9EDF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283241"/>
                <w:sz w:val="19"/>
              </w:rPr>
              <w:t>分值</w:t>
            </w:r>
          </w:p>
        </w:tc>
        <w:tc>
          <w:tcPr>
            <w:tcW w:type="dxa" w:w="5839"/>
            <w:shd w:fill="E9EDF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283241"/>
                <w:sz w:val="19"/>
              </w:rPr>
              <w:t>关注内容</w:t>
            </w:r>
          </w:p>
        </w:tc>
      </w:tr>
      <w:tr>
        <w:trPr>
          <w:cantSplit w:val="1"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9"/>
              </w:rPr>
              <w:t>业务流程完成度</w:t>
            </w:r>
          </w:p>
        </w:tc>
        <w:tc>
          <w:tcPr>
            <w:tcW w:type="dxa" w:w="124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9"/>
              </w:rPr>
              <w:t>40分</w:t>
            </w:r>
          </w:p>
        </w:tc>
        <w:tc>
          <w:tcPr>
            <w:tcW w:type="dxa" w:w="583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9"/>
              </w:rPr>
              <w:t>上游采购和下游销售是否形成并完成关键订单</w:t>
            </w:r>
          </w:p>
        </w:tc>
      </w:tr>
      <w:tr>
        <w:trPr>
          <w:cantSplit w:val="1"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9"/>
              </w:rPr>
              <w:t>角色协作与任务</w:t>
            </w:r>
          </w:p>
        </w:tc>
        <w:tc>
          <w:tcPr>
            <w:tcW w:type="dxa" w:w="124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9"/>
              </w:rPr>
              <w:t>25分</w:t>
            </w:r>
          </w:p>
        </w:tc>
        <w:tc>
          <w:tcPr>
            <w:tcW w:type="dxa" w:w="583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9"/>
              </w:rPr>
              <w:t>四角色是否完整、关键角色任务是否完成</w:t>
            </w:r>
          </w:p>
        </w:tc>
      </w:tr>
      <w:tr>
        <w:trPr>
          <w:cantSplit w:val="1"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9"/>
              </w:rPr>
              <w:t>融资策略</w:t>
            </w:r>
          </w:p>
        </w:tc>
        <w:tc>
          <w:tcPr>
            <w:tcW w:type="dxa" w:w="124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9"/>
              </w:rPr>
              <w:t>15分</w:t>
            </w:r>
          </w:p>
        </w:tc>
        <w:tc>
          <w:tcPr>
            <w:tcW w:type="dxa" w:w="583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9"/>
              </w:rPr>
              <w:t>融资路径是否作出有效选择；不融资但业务继续推进同样有效</w:t>
            </w:r>
          </w:p>
        </w:tc>
      </w:tr>
      <w:tr>
        <w:trPr>
          <w:cantSplit w:val="1"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9"/>
              </w:rPr>
              <w:t>核心链上记录完整性</w:t>
            </w:r>
          </w:p>
        </w:tc>
        <w:tc>
          <w:tcPr>
            <w:tcW w:type="dxa" w:w="124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9"/>
              </w:rPr>
              <w:t>20分</w:t>
            </w:r>
          </w:p>
        </w:tc>
        <w:tc>
          <w:tcPr>
            <w:tcW w:type="dxa" w:w="583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9"/>
              </w:rPr>
              <w:t>关键业务事件是否形成完整的链上记录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rPr>
          <w:cantSplit w:val="1"/>
        </w:trPr>
        <w:tc>
          <w:tcPr>
            <w:tcW w:type="dxa" w:w="9746"/>
            <w:shd w:fill="F4F6F8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Arial" w:hAnsi="Arial" w:eastAsia="Noto Sans CJK SC"/>
                <w:b/>
                <w:color w:val="374150"/>
                <w:sz w:val="20"/>
              </w:rPr>
              <w:t>评价说明：</w:t>
            </w:r>
            <w:r>
              <w:rPr>
                <w:rFonts w:ascii="Arial" w:hAnsi="Arial" w:eastAsia="Noto Sans CJK SC"/>
                <w:b w:val="0"/>
                <w:color w:val="464646"/>
                <w:sz w:val="20"/>
              </w:rPr>
              <w:t>教师点击网络确认属于教师操作，不影响你们的过程得分；银行批准或拒绝融资都可能是合理决策；异常业务也用于课堂分析，不是简单等同于“做错了”。</w:t>
            </w:r>
          </w:p>
        </w:tc>
      </w:tr>
    </w:tbl>
    <w:p>
      <w:pPr>
        <w:spacing w:after="0"/>
      </w:pPr>
    </w:p>
    <w:p>
      <w:pPr>
        <w:pStyle w:val="Heading1"/>
        <w:spacing w:before="160" w:after="100"/>
      </w:pPr>
      <w:r>
        <w:rPr>
          <w:rFonts w:ascii="Arial" w:hAnsi="Arial" w:eastAsia="Noto Sans CJK SC"/>
          <w:b/>
          <w:sz w:val="32"/>
        </w:rPr>
        <w:t>十、常见问题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  <w:cantSplit w:val="1"/>
        </w:trPr>
        <w:tc>
          <w:tcPr>
            <w:tcW w:type="dxa" w:w="2948"/>
            <w:shd w:fill="E9EDF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283241"/>
                <w:sz w:val="19"/>
              </w:rPr>
              <w:t>现象</w:t>
            </w:r>
          </w:p>
        </w:tc>
        <w:tc>
          <w:tcPr>
            <w:tcW w:type="dxa" w:w="6406"/>
            <w:shd w:fill="E9EDF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283241"/>
                <w:sz w:val="19"/>
              </w:rPr>
              <w:t>怎么处理</w:t>
            </w:r>
          </w:p>
        </w:tc>
      </w:tr>
      <w:tr>
        <w:trPr>
          <w:cantSplit w:val="1"/>
        </w:trPr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9"/>
              </w:rPr>
              <w:t>打不开学生端地址</w:t>
            </w:r>
          </w:p>
        </w:tc>
        <w:tc>
          <w:tcPr>
            <w:tcW w:type="dxa" w:w="640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9"/>
              </w:rPr>
              <w:t>确认与教师电脑处于同一局域网；重新输入教师公布的完整地址。</w:t>
            </w:r>
          </w:p>
        </w:tc>
      </w:tr>
      <w:tr>
        <w:trPr>
          <w:cantSplit w:val="1"/>
        </w:trPr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9"/>
              </w:rPr>
              <w:t>第一次加入提示角色已被占用</w:t>
            </w:r>
          </w:p>
        </w:tc>
        <w:tc>
          <w:tcPr>
            <w:tcW w:type="dxa" w:w="640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9"/>
              </w:rPr>
              <w:t>该组该角色已经有人选择，请联系教师核对分组，不要随意换到其他组。</w:t>
            </w:r>
          </w:p>
        </w:tc>
      </w:tr>
      <w:tr>
        <w:trPr>
          <w:cantSplit w:val="1"/>
        </w:trPr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9"/>
              </w:rPr>
              <w:t>已经加入过，但不知道怎么回来</w:t>
            </w:r>
          </w:p>
        </w:tc>
        <w:tc>
          <w:tcPr>
            <w:tcW w:type="dxa" w:w="640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9"/>
              </w:rPr>
              <w:t>使用“重新进入实验”，输入实验编号和学号即可。</w:t>
            </w:r>
          </w:p>
        </w:tc>
      </w:tr>
      <w:tr>
        <w:trPr>
          <w:cantSplit w:val="1"/>
        </w:trPr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9"/>
              </w:rPr>
              <w:t>按钮不能操作</w:t>
            </w:r>
          </w:p>
        </w:tc>
        <w:tc>
          <w:tcPr>
            <w:tcW w:type="dxa" w:w="640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9"/>
              </w:rPr>
              <w:t>先看实验状态。如果是准备中或已结束，系统会禁止新增业务。</w:t>
            </w:r>
          </w:p>
        </w:tc>
      </w:tr>
      <w:tr>
        <w:trPr>
          <w:cantSplit w:val="1"/>
        </w:trPr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9"/>
              </w:rPr>
              <w:t>供应商是否必须融资</w:t>
            </w:r>
          </w:p>
        </w:tc>
        <w:tc>
          <w:tcPr>
            <w:tcW w:type="dxa" w:w="640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9"/>
              </w:rPr>
              <w:t>不是。融资是可选策略，也可以直接发货。</w:t>
            </w:r>
          </w:p>
        </w:tc>
      </w:tr>
      <w:tr>
        <w:trPr>
          <w:cantSplit w:val="1"/>
        </w:trPr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9"/>
              </w:rPr>
              <w:t>银行必须批准吗</w:t>
            </w:r>
          </w:p>
        </w:tc>
        <w:tc>
          <w:tcPr>
            <w:tcW w:type="dxa" w:w="640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9"/>
              </w:rPr>
              <w:t>不是。批准或拒绝都应根据订单、链上信息和资金情况作出。</w:t>
            </w:r>
          </w:p>
        </w:tc>
      </w:tr>
      <w:tr>
        <w:trPr>
          <w:cantSplit w:val="1"/>
        </w:trPr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9"/>
              </w:rPr>
              <w:t>智能合约为什么没有付款</w:t>
            </w:r>
          </w:p>
        </w:tc>
        <w:tc>
          <w:tcPr>
            <w:tcW w:type="dxa" w:w="640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9"/>
              </w:rPr>
              <w:t>检查验收数量、质量条件和制造商账户余额，可能出现验收异常或付款异常。</w:t>
            </w:r>
          </w:p>
        </w:tc>
      </w:tr>
      <w:tr>
        <w:trPr>
          <w:cantSplit w:val="1"/>
        </w:trPr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9"/>
              </w:rPr>
              <w:t>链上交易一直显示待确认</w:t>
            </w:r>
          </w:p>
        </w:tc>
        <w:tc>
          <w:tcPr>
            <w:tcW w:type="dxa" w:w="640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9"/>
              </w:rPr>
              <w:t>这是正常状态，等待教师执行“模拟网络确认”。</w:t>
            </w:r>
          </w:p>
        </w:tc>
      </w:tr>
      <w:tr>
        <w:trPr>
          <w:cantSplit w:val="1"/>
        </w:trPr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9"/>
              </w:rPr>
              <w:t>为什么不能修改URL进入别人的工作台</w:t>
            </w:r>
          </w:p>
        </w:tc>
        <w:tc>
          <w:tcPr>
            <w:tcW w:type="dxa" w:w="640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9"/>
              </w:rPr>
              <w:t>系统已经绑定当前登录身份，小组和角色数据相互隔离。</w:t>
            </w:r>
          </w:p>
        </w:tc>
      </w:tr>
    </w:tbl>
    <w:p>
      <w:pPr>
        <w:spacing w:after="20"/>
      </w:pPr>
    </w:p>
    <w:p>
      <w:pPr>
        <w:pStyle w:val="Heading1"/>
        <w:spacing w:before="160" w:after="100"/>
      </w:pPr>
      <w:r>
        <w:rPr>
          <w:rFonts w:ascii="Arial" w:hAnsi="Arial" w:eastAsia="Noto Sans CJK SC"/>
          <w:b/>
          <w:sz w:val="32"/>
        </w:rPr>
        <w:t>十一、完成实验后你应理解的内容</w:t>
      </w:r>
    </w:p>
    <w:p>
      <w:pPr>
        <w:pStyle w:val="ListBullet"/>
        <w:spacing w:after="40"/>
      </w:pPr>
      <w:r>
        <w:rPr>
          <w:rFonts w:ascii="Arial" w:hAnsi="Arial" w:eastAsia="Noto Sans CJK SC"/>
          <w:b w:val="0"/>
          <w:sz w:val="21"/>
        </w:rPr>
        <w:t>供应链业务决策与区块链技术之间的关系，而不仅是区块链概念本身。</w:t>
      </w:r>
    </w:p>
    <w:p>
      <w:pPr>
        <w:pStyle w:val="ListBullet"/>
        <w:spacing w:after="40"/>
      </w:pPr>
      <w:r>
        <w:rPr>
          <w:rFonts w:ascii="Arial" w:hAnsi="Arial" w:eastAsia="Noto Sans CJK SC"/>
          <w:b w:val="0"/>
          <w:sz w:val="21"/>
        </w:rPr>
        <w:t>业务事件如何从报价、订单、发货、验收、付款逐步形成可追溯记录。</w:t>
      </w:r>
    </w:p>
    <w:p>
      <w:pPr>
        <w:pStyle w:val="ListBullet"/>
        <w:spacing w:after="40"/>
      </w:pPr>
      <w:r>
        <w:rPr>
          <w:rFonts w:ascii="Arial" w:hAnsi="Arial" w:eastAsia="Noto Sans CJK SC"/>
          <w:b w:val="0"/>
          <w:sz w:val="21"/>
        </w:rPr>
        <w:t>智能合约为什么需要明确触发条件，以及条件满足后如何自动执行。</w:t>
      </w:r>
    </w:p>
    <w:p>
      <w:pPr>
        <w:pStyle w:val="ListBullet"/>
        <w:spacing w:after="40"/>
      </w:pPr>
      <w:r>
        <w:rPr>
          <w:rFonts w:ascii="Arial" w:hAnsi="Arial" w:eastAsia="Noto Sans CJK SC"/>
          <w:b w:val="0"/>
          <w:sz w:val="21"/>
        </w:rPr>
        <w:t>订单融资中可信订单和链上信息如何支持银行审核。</w:t>
      </w:r>
    </w:p>
    <w:p>
      <w:pPr>
        <w:pStyle w:val="ListBullet"/>
        <w:spacing w:after="40"/>
      </w:pPr>
      <w:r>
        <w:rPr>
          <w:rFonts w:ascii="Arial" w:hAnsi="Arial" w:eastAsia="Noto Sans CJK SC"/>
          <w:b w:val="0"/>
          <w:sz w:val="21"/>
        </w:rPr>
        <w:t>区块链“待确认—已确认—打包成块”的过程，以及哈希链为什么能够帮助发现篡改。</w:t>
      </w:r>
    </w:p>
    <w:p>
      <w:pPr>
        <w:pStyle w:val="ListBullet"/>
        <w:spacing w:after="40"/>
      </w:pPr>
      <w:r>
        <w:rPr>
          <w:rFonts w:ascii="Arial" w:hAnsi="Arial" w:eastAsia="Noto Sans CJK SC"/>
          <w:b w:val="0"/>
          <w:sz w:val="21"/>
        </w:rPr>
        <w:t>供应商、制造商、经销商和银行之间的业务协同与资金联动。</w:t>
      </w:r>
    </w:p>
    <w:sectPr w:rsidR="00FC693F" w:rsidRPr="0006063C" w:rsidSect="00034616">
      <w:footerReference w:type="default" r:id="rId9"/>
      <w:pgSz w:w="12240" w:h="15840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Noto Sans CJK SC"/>
        <w:b w:val="0"/>
        <w:color w:val="878787"/>
        <w:sz w:val="17"/>
      </w:rPr>
      <w:t>区块链业务决策与交易沙盘 · 学生使用说明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Arial" w:hAnsi="Arial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Noto Sans CJK SC"/>
      <w:b/>
      <w:bCs/>
      <w:color w:val="1F293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Noto Sans CJK SC"/>
      <w:b/>
      <w:bCs/>
      <w:color w:val="2D374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Noto Sans CJK SC"/>
      <w:b/>
      <w:bCs/>
      <w:color w:val="37415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Noto Sans CJK SC"/>
      <w:color w:val="1F293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anualNote">
    <w:name w:val="Manual Note"/>
    <w:pPr>
      <w:spacing w:before="80" w:after="120"/>
      <w:ind w:left="255" w:right="113"/>
    </w:pPr>
    <w:rPr>
      <w:rFonts w:ascii="Arial" w:hAnsi="Arial" w:eastAsia="Noto Sans CJK SC"/>
      <w:color w:val="464646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