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B04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佛山“易本书”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基础认知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私人藏书进入共享网络后，借出、漂流、赠送等状态怎样持续记录？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个人阅读 + 小组讨论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为一本“可漂流”的书设计最少需要记录的状态字段。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比较“限期借阅”和“可赠送”两种模式，哪些状态变化不同？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解释多次转手时为什么需要保留历史记录。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指出哪些问题仍必须依靠押金、信用、人工处理等链下机制。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