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B06 案例分析报告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小组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成员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日期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课程章节</w:t>
            </w:r>
          </w:p>
        </w:tc>
        <w:tc>
          <w:tcPr>
            <w:tcW w:type="dxa" w:w="4759"/>
          </w:tcPr>
          <w:p>
            <w:r/>
          </w:p>
        </w:tc>
      </w:tr>
    </w:tbl>
    <w:p>
      <w:pPr>
        <w:pStyle w:val="Heading1"/>
      </w:pPr>
      <w:r>
        <w:t>一、业务背景与核心问题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二、参与主体及其目标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三、业务流程与数据流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四、问题—技术机制映射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五、技术边界与风险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六、改进方案与结论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