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8C674">
      <w:pPr>
        <w:jc w:val="center"/>
        <w:rPr>
          <w:b/>
          <w:sz w:val="36"/>
          <w:szCs w:val="36"/>
        </w:rPr>
      </w:pPr>
    </w:p>
    <w:p w14:paraId="24D2287C">
      <w:pPr>
        <w:jc w:val="center"/>
        <w:rPr>
          <w:b/>
          <w:sz w:val="36"/>
          <w:szCs w:val="36"/>
        </w:rPr>
      </w:pPr>
    </w:p>
    <w:p w14:paraId="2D67D672">
      <w:pPr>
        <w:jc w:val="center"/>
        <w:rPr>
          <w:rFonts w:ascii="黑体" w:eastAsia="黑体"/>
          <w:sz w:val="44"/>
          <w:szCs w:val="44"/>
        </w:rPr>
      </w:pPr>
      <w:r>
        <w:rPr>
          <w:rFonts w:hint="eastAsia" w:ascii="黑体" w:eastAsia="黑体"/>
          <w:sz w:val="44"/>
          <w:szCs w:val="44"/>
        </w:rPr>
        <w:t>河北工业大学研究生学位论文中期报告</w:t>
      </w:r>
    </w:p>
    <w:p w14:paraId="039A8C24">
      <w:pPr>
        <w:jc w:val="center"/>
        <w:rPr>
          <w:szCs w:val="21"/>
        </w:rPr>
      </w:pPr>
    </w:p>
    <w:p w14:paraId="5AFEE172">
      <w:pPr>
        <w:jc w:val="center"/>
        <w:rPr>
          <w:szCs w:val="21"/>
        </w:rPr>
      </w:pPr>
    </w:p>
    <w:p w14:paraId="7F1BBE3B">
      <w:pPr>
        <w:jc w:val="center"/>
        <w:rPr>
          <w:szCs w:val="21"/>
        </w:rPr>
      </w:pPr>
    </w:p>
    <w:p w14:paraId="665DEC3F">
      <w:pPr>
        <w:jc w:val="center"/>
        <w:rPr>
          <w:szCs w:val="21"/>
        </w:rPr>
      </w:pPr>
    </w:p>
    <w:tbl>
      <w:tblPr>
        <w:tblStyle w:val="14"/>
        <w:tblW w:w="0" w:type="auto"/>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21"/>
        <w:gridCol w:w="4261"/>
        <w:gridCol w:w="461"/>
      </w:tblGrid>
      <w:tr w14:paraId="5C30D31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1" w:type="dxa"/>
            <w:tcBorders>
              <w:bottom w:val="nil"/>
            </w:tcBorders>
          </w:tcPr>
          <w:p w14:paraId="3C3D0ED2">
            <w:pPr>
              <w:wordWrap w:val="0"/>
              <w:jc w:val="right"/>
              <w:rPr>
                <w:b/>
                <w:sz w:val="28"/>
                <w:szCs w:val="28"/>
                <w:u w:val="single"/>
              </w:rPr>
            </w:pPr>
            <w:bookmarkStart w:id="0" w:name="_Hlk202819090"/>
            <w:r>
              <w:rPr>
                <w:rFonts w:hint="eastAsia"/>
                <w:b/>
                <w:sz w:val="28"/>
                <w:szCs w:val="28"/>
              </w:rPr>
              <w:t>论文题目</w:t>
            </w:r>
          </w:p>
        </w:tc>
        <w:tc>
          <w:tcPr>
            <w:tcW w:w="4722" w:type="dxa"/>
            <w:gridSpan w:val="2"/>
            <w:tcBorders>
              <w:bottom w:val="single" w:color="auto" w:sz="12" w:space="0"/>
            </w:tcBorders>
          </w:tcPr>
          <w:p w14:paraId="0D6E5147">
            <w:pPr>
              <w:spacing w:line="60" w:lineRule="auto"/>
              <w:jc w:val="center"/>
              <w:rPr>
                <w:rFonts w:hint="eastAsia" w:ascii="宋体" w:hAnsi="宋体"/>
                <w:b/>
                <w:sz w:val="28"/>
                <w:szCs w:val="28"/>
              </w:rPr>
            </w:pPr>
            <w:bookmarkStart w:id="1" w:name="OLE_LINK24"/>
            <w:r>
              <w:rPr>
                <w:rFonts w:hint="eastAsia" w:ascii="宋体" w:hAnsi="宋体"/>
                <w:b/>
                <w:sz w:val="28"/>
                <w:szCs w:val="28"/>
              </w:rPr>
              <w:t>基于图</w:t>
            </w:r>
            <w:bookmarkStart w:id="93" w:name="_GoBack"/>
            <w:r>
              <w:rPr>
                <w:rFonts w:hint="eastAsia" w:ascii="宋体" w:hAnsi="宋体"/>
                <w:b/>
                <w:sz w:val="28"/>
                <w:szCs w:val="28"/>
                <w:highlight w:val="yellow"/>
              </w:rPr>
              <w:t>对比学习的整合sc-RNA和空间转录组学数据的细胞</w:t>
            </w:r>
            <w:bookmarkEnd w:id="93"/>
            <w:r>
              <w:rPr>
                <w:rFonts w:hint="eastAsia" w:ascii="宋体" w:hAnsi="宋体"/>
                <w:b/>
                <w:sz w:val="28"/>
                <w:szCs w:val="28"/>
              </w:rPr>
              <w:t>组成推断研究</w:t>
            </w:r>
            <w:bookmarkEnd w:id="1"/>
          </w:p>
        </w:tc>
      </w:tr>
      <w:bookmarkEnd w:id="0"/>
      <w:tr w14:paraId="7D2A07B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61" w:type="dxa"/>
          <w:jc w:val="center"/>
        </w:trPr>
        <w:tc>
          <w:tcPr>
            <w:tcW w:w="1521" w:type="dxa"/>
            <w:tcBorders>
              <w:bottom w:val="nil"/>
            </w:tcBorders>
          </w:tcPr>
          <w:p w14:paraId="71F3E190">
            <w:pPr>
              <w:wordWrap w:val="0"/>
              <w:jc w:val="right"/>
              <w:rPr>
                <w:b/>
                <w:sz w:val="28"/>
                <w:szCs w:val="28"/>
              </w:rPr>
            </w:pPr>
            <w:r>
              <w:rPr>
                <w:rFonts w:hint="eastAsia"/>
                <w:b/>
                <w:sz w:val="28"/>
                <w:szCs w:val="28"/>
              </w:rPr>
              <w:t>类    别</w:t>
            </w:r>
          </w:p>
        </w:tc>
        <w:tc>
          <w:tcPr>
            <w:tcW w:w="4261" w:type="dxa"/>
            <w:tcBorders>
              <w:bottom w:val="single" w:color="auto" w:sz="12" w:space="0"/>
            </w:tcBorders>
          </w:tcPr>
          <w:p w14:paraId="342150EB">
            <w:pPr>
              <w:jc w:val="center"/>
              <w:rPr>
                <w:b/>
                <w:sz w:val="30"/>
                <w:szCs w:val="30"/>
              </w:rPr>
            </w:pPr>
            <w:r>
              <w:rPr>
                <w:rFonts w:hint="eastAsia"/>
                <w:b/>
                <w:sz w:val="30"/>
                <w:szCs w:val="30"/>
              </w:rPr>
              <w:t>博士</w:t>
            </w:r>
            <w:r>
              <w:rPr>
                <w:rFonts w:hint="eastAsia" w:ascii="宋体" w:hAnsi="宋体"/>
                <w:b/>
                <w:sz w:val="30"/>
                <w:szCs w:val="30"/>
              </w:rPr>
              <w:sym w:font="Wingdings 2" w:char="00A3"/>
            </w:r>
            <w:r>
              <w:rPr>
                <w:rFonts w:hint="eastAsia" w:ascii="宋体" w:hAnsi="宋体"/>
                <w:b/>
                <w:sz w:val="30"/>
                <w:szCs w:val="30"/>
              </w:rPr>
              <w:t xml:space="preserve">  </w:t>
            </w:r>
            <w:r>
              <w:rPr>
                <w:rFonts w:hint="eastAsia"/>
                <w:b/>
                <w:sz w:val="30"/>
                <w:szCs w:val="30"/>
              </w:rPr>
              <w:t>硕士</w:t>
            </w:r>
            <w:r>
              <w:rPr>
                <w:rFonts w:hint="eastAsia" w:ascii="Times New Roman" w:hAnsi="Times New Roman"/>
                <w:b/>
                <w:sz w:val="30"/>
                <w:szCs w:val="30"/>
              </w:rPr>
              <w:sym w:font="Wingdings 2" w:char="0052"/>
            </w:r>
          </w:p>
        </w:tc>
      </w:tr>
      <w:tr w14:paraId="381F4C7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61" w:type="dxa"/>
          <w:jc w:val="center"/>
        </w:trPr>
        <w:tc>
          <w:tcPr>
            <w:tcW w:w="1521" w:type="dxa"/>
            <w:tcBorders>
              <w:bottom w:val="nil"/>
            </w:tcBorders>
          </w:tcPr>
          <w:p w14:paraId="50779242">
            <w:pPr>
              <w:wordWrap w:val="0"/>
              <w:jc w:val="right"/>
              <w:rPr>
                <w:b/>
                <w:sz w:val="28"/>
                <w:szCs w:val="28"/>
              </w:rPr>
            </w:pPr>
            <w:r>
              <w:rPr>
                <w:rFonts w:hint="eastAsia"/>
                <w:b/>
                <w:sz w:val="28"/>
                <w:szCs w:val="28"/>
              </w:rPr>
              <w:t>所属学院</w:t>
            </w:r>
          </w:p>
        </w:tc>
        <w:tc>
          <w:tcPr>
            <w:tcW w:w="4261" w:type="dxa"/>
            <w:tcBorders>
              <w:top w:val="single" w:color="auto" w:sz="12" w:space="0"/>
              <w:bottom w:val="single" w:color="auto" w:sz="12" w:space="0"/>
            </w:tcBorders>
          </w:tcPr>
          <w:p w14:paraId="1632DB99">
            <w:pPr>
              <w:rPr>
                <w:b/>
                <w:sz w:val="28"/>
                <w:szCs w:val="28"/>
              </w:rPr>
            </w:pPr>
            <w:r>
              <w:rPr>
                <w:rFonts w:ascii="Times New Roman" w:hAnsi="Times New Roman"/>
                <w:b/>
                <w:sz w:val="28"/>
                <w:szCs w:val="28"/>
              </w:rPr>
              <w:t>人工智能与数据科学学院</w:t>
            </w:r>
          </w:p>
        </w:tc>
      </w:tr>
      <w:tr w14:paraId="7EACA0BD">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61" w:type="dxa"/>
          <w:jc w:val="center"/>
        </w:trPr>
        <w:tc>
          <w:tcPr>
            <w:tcW w:w="1521" w:type="dxa"/>
            <w:tcBorders>
              <w:bottom w:val="nil"/>
            </w:tcBorders>
          </w:tcPr>
          <w:p w14:paraId="23C4F01C">
            <w:pPr>
              <w:jc w:val="right"/>
              <w:rPr>
                <w:b/>
                <w:sz w:val="28"/>
                <w:szCs w:val="28"/>
                <w:u w:val="single"/>
              </w:rPr>
            </w:pPr>
            <w:r>
              <w:rPr>
                <w:rFonts w:hint="eastAsia"/>
                <w:b/>
                <w:sz w:val="28"/>
                <w:szCs w:val="28"/>
              </w:rPr>
              <w:t>学科专业</w:t>
            </w:r>
          </w:p>
        </w:tc>
        <w:tc>
          <w:tcPr>
            <w:tcW w:w="4261" w:type="dxa"/>
            <w:tcBorders>
              <w:top w:val="single" w:color="auto" w:sz="12" w:space="0"/>
              <w:bottom w:val="single" w:color="auto" w:sz="12" w:space="0"/>
            </w:tcBorders>
          </w:tcPr>
          <w:p w14:paraId="553C2036">
            <w:pPr>
              <w:jc w:val="center"/>
              <w:rPr>
                <w:b/>
                <w:sz w:val="28"/>
                <w:szCs w:val="28"/>
              </w:rPr>
            </w:pPr>
            <w:r>
              <w:rPr>
                <w:rFonts w:hint="eastAsia"/>
                <w:b/>
                <w:sz w:val="28"/>
                <w:szCs w:val="28"/>
              </w:rPr>
              <w:t>计算机科学与技术</w:t>
            </w:r>
          </w:p>
        </w:tc>
      </w:tr>
      <w:tr w14:paraId="217423F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61" w:type="dxa"/>
          <w:jc w:val="center"/>
        </w:trPr>
        <w:tc>
          <w:tcPr>
            <w:tcW w:w="1521" w:type="dxa"/>
            <w:tcBorders>
              <w:bottom w:val="nil"/>
            </w:tcBorders>
          </w:tcPr>
          <w:p w14:paraId="3F9F6CCB">
            <w:pPr>
              <w:jc w:val="right"/>
              <w:rPr>
                <w:b/>
                <w:sz w:val="28"/>
                <w:szCs w:val="28"/>
                <w:u w:val="single"/>
              </w:rPr>
            </w:pPr>
            <w:r>
              <w:rPr>
                <w:rFonts w:hint="eastAsia"/>
                <w:b/>
                <w:sz w:val="28"/>
                <w:szCs w:val="28"/>
              </w:rPr>
              <w:t>研究方向</w:t>
            </w:r>
          </w:p>
        </w:tc>
        <w:tc>
          <w:tcPr>
            <w:tcW w:w="4261" w:type="dxa"/>
            <w:tcBorders>
              <w:top w:val="single" w:color="auto" w:sz="12" w:space="0"/>
              <w:bottom w:val="single" w:color="auto" w:sz="12" w:space="0"/>
            </w:tcBorders>
          </w:tcPr>
          <w:p w14:paraId="621D8495">
            <w:pPr>
              <w:jc w:val="center"/>
              <w:rPr>
                <w:b/>
                <w:sz w:val="28"/>
                <w:szCs w:val="28"/>
              </w:rPr>
            </w:pPr>
            <w:r>
              <w:rPr>
                <w:rFonts w:hint="eastAsia"/>
                <w:b/>
                <w:sz w:val="28"/>
                <w:szCs w:val="28"/>
              </w:rPr>
              <w:t>生物信息学</w:t>
            </w:r>
          </w:p>
        </w:tc>
      </w:tr>
      <w:tr w14:paraId="30701AE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61" w:type="dxa"/>
          <w:jc w:val="center"/>
        </w:trPr>
        <w:tc>
          <w:tcPr>
            <w:tcW w:w="1521" w:type="dxa"/>
          </w:tcPr>
          <w:p w14:paraId="7F959545">
            <w:pPr>
              <w:jc w:val="right"/>
              <w:rPr>
                <w:b/>
                <w:sz w:val="28"/>
                <w:szCs w:val="28"/>
                <w:u w:val="single"/>
              </w:rPr>
            </w:pPr>
            <w:r>
              <w:rPr>
                <w:rFonts w:hint="eastAsia"/>
                <w:b/>
                <w:sz w:val="28"/>
                <w:szCs w:val="28"/>
              </w:rPr>
              <w:t>导师姓名</w:t>
            </w:r>
          </w:p>
        </w:tc>
        <w:tc>
          <w:tcPr>
            <w:tcW w:w="4261" w:type="dxa"/>
            <w:tcBorders>
              <w:top w:val="single" w:color="auto" w:sz="12" w:space="0"/>
              <w:bottom w:val="single" w:color="auto" w:sz="12" w:space="0"/>
            </w:tcBorders>
          </w:tcPr>
          <w:p w14:paraId="288C7BA4">
            <w:pPr>
              <w:jc w:val="center"/>
              <w:rPr>
                <w:b/>
                <w:sz w:val="28"/>
                <w:szCs w:val="28"/>
              </w:rPr>
            </w:pPr>
            <w:r>
              <w:rPr>
                <w:rFonts w:hint="eastAsia"/>
                <w:b/>
                <w:sz w:val="28"/>
                <w:szCs w:val="28"/>
              </w:rPr>
              <w:t>董瑶</w:t>
            </w:r>
          </w:p>
        </w:tc>
      </w:tr>
      <w:tr w14:paraId="0CCC1DA3">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61" w:type="dxa"/>
          <w:jc w:val="center"/>
        </w:trPr>
        <w:tc>
          <w:tcPr>
            <w:tcW w:w="1521" w:type="dxa"/>
          </w:tcPr>
          <w:p w14:paraId="57C58921">
            <w:pPr>
              <w:wordWrap w:val="0"/>
              <w:jc w:val="right"/>
              <w:rPr>
                <w:b/>
                <w:sz w:val="28"/>
                <w:szCs w:val="28"/>
                <w:u w:val="single"/>
              </w:rPr>
            </w:pPr>
            <w:r>
              <w:rPr>
                <w:rFonts w:hint="eastAsia"/>
                <w:b/>
                <w:sz w:val="28"/>
                <w:szCs w:val="28"/>
              </w:rPr>
              <w:t>学    号</w:t>
            </w:r>
          </w:p>
        </w:tc>
        <w:tc>
          <w:tcPr>
            <w:tcW w:w="4261" w:type="dxa"/>
            <w:tcBorders>
              <w:top w:val="single" w:color="auto" w:sz="12" w:space="0"/>
              <w:bottom w:val="single" w:color="auto" w:sz="12" w:space="0"/>
            </w:tcBorders>
          </w:tcPr>
          <w:p w14:paraId="502A9612">
            <w:pPr>
              <w:jc w:val="center"/>
              <w:rPr>
                <w:b/>
                <w:sz w:val="28"/>
                <w:szCs w:val="28"/>
              </w:rPr>
            </w:pPr>
            <w:r>
              <w:rPr>
                <w:rFonts w:hint="eastAsia"/>
                <w:b/>
                <w:sz w:val="28"/>
                <w:szCs w:val="28"/>
              </w:rPr>
              <w:t>202322802019</w:t>
            </w:r>
          </w:p>
        </w:tc>
      </w:tr>
      <w:tr w14:paraId="67D4BB9B">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61" w:type="dxa"/>
          <w:jc w:val="center"/>
        </w:trPr>
        <w:tc>
          <w:tcPr>
            <w:tcW w:w="1521" w:type="dxa"/>
            <w:tcBorders>
              <w:bottom w:val="nil"/>
            </w:tcBorders>
          </w:tcPr>
          <w:p w14:paraId="0D99BBAD">
            <w:pPr>
              <w:wordWrap w:val="0"/>
              <w:jc w:val="right"/>
              <w:rPr>
                <w:b/>
                <w:sz w:val="28"/>
                <w:szCs w:val="28"/>
                <w:u w:val="single"/>
              </w:rPr>
            </w:pPr>
            <w:r>
              <w:rPr>
                <w:rFonts w:hint="eastAsia"/>
                <w:b/>
                <w:sz w:val="28"/>
                <w:szCs w:val="28"/>
              </w:rPr>
              <w:t>姓    名</w:t>
            </w:r>
          </w:p>
        </w:tc>
        <w:tc>
          <w:tcPr>
            <w:tcW w:w="4261" w:type="dxa"/>
            <w:tcBorders>
              <w:top w:val="single" w:color="auto" w:sz="12" w:space="0"/>
              <w:bottom w:val="single" w:color="auto" w:sz="12" w:space="0"/>
            </w:tcBorders>
          </w:tcPr>
          <w:p w14:paraId="5DC19DEF">
            <w:pPr>
              <w:jc w:val="center"/>
              <w:rPr>
                <w:b/>
                <w:sz w:val="28"/>
                <w:szCs w:val="28"/>
              </w:rPr>
            </w:pPr>
            <w:r>
              <w:rPr>
                <w:rFonts w:hint="eastAsia"/>
                <w:b/>
                <w:sz w:val="28"/>
                <w:szCs w:val="28"/>
              </w:rPr>
              <w:t>艾涵桢</w:t>
            </w:r>
          </w:p>
        </w:tc>
      </w:tr>
    </w:tbl>
    <w:p w14:paraId="672E04B8">
      <w:pPr>
        <w:jc w:val="center"/>
        <w:rPr>
          <w:szCs w:val="21"/>
        </w:rPr>
      </w:pPr>
    </w:p>
    <w:p w14:paraId="6B77F7C2">
      <w:pPr>
        <w:jc w:val="center"/>
        <w:rPr>
          <w:szCs w:val="21"/>
        </w:rPr>
      </w:pPr>
    </w:p>
    <w:p w14:paraId="7468C369">
      <w:pPr>
        <w:jc w:val="center"/>
        <w:rPr>
          <w:szCs w:val="21"/>
        </w:rPr>
      </w:pPr>
    </w:p>
    <w:p w14:paraId="721D8FBF">
      <w:pPr>
        <w:jc w:val="center"/>
        <w:rPr>
          <w:szCs w:val="21"/>
        </w:rPr>
      </w:pP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00"/>
        <w:gridCol w:w="918"/>
        <w:gridCol w:w="918"/>
      </w:tblGrid>
      <w:tr w14:paraId="53CFA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0" w:type="dxa"/>
          </w:tcPr>
          <w:p w14:paraId="73209549">
            <w:pPr>
              <w:jc w:val="right"/>
              <w:rPr>
                <w:b/>
                <w:sz w:val="28"/>
                <w:szCs w:val="28"/>
              </w:rPr>
            </w:pPr>
            <w:r>
              <w:rPr>
                <w:rFonts w:hint="eastAsia"/>
                <w:b/>
                <w:sz w:val="28"/>
                <w:szCs w:val="28"/>
              </w:rPr>
              <w:t>2025年</w:t>
            </w:r>
          </w:p>
        </w:tc>
        <w:tc>
          <w:tcPr>
            <w:tcW w:w="918" w:type="dxa"/>
          </w:tcPr>
          <w:p w14:paraId="440BF7F2">
            <w:pPr>
              <w:jc w:val="right"/>
              <w:rPr>
                <w:b/>
                <w:sz w:val="28"/>
                <w:szCs w:val="28"/>
              </w:rPr>
            </w:pPr>
            <w:r>
              <w:rPr>
                <w:rFonts w:hint="eastAsia"/>
                <w:b/>
                <w:sz w:val="28"/>
                <w:szCs w:val="28"/>
              </w:rPr>
              <w:t>6月</w:t>
            </w:r>
          </w:p>
        </w:tc>
        <w:tc>
          <w:tcPr>
            <w:tcW w:w="918" w:type="dxa"/>
          </w:tcPr>
          <w:p w14:paraId="1A33E472">
            <w:pPr>
              <w:jc w:val="right"/>
              <w:rPr>
                <w:b/>
                <w:sz w:val="28"/>
                <w:szCs w:val="28"/>
              </w:rPr>
            </w:pPr>
            <w:r>
              <w:rPr>
                <w:rFonts w:hint="eastAsia"/>
                <w:b/>
                <w:sz w:val="28"/>
                <w:szCs w:val="28"/>
              </w:rPr>
              <w:t>21日</w:t>
            </w:r>
          </w:p>
        </w:tc>
      </w:tr>
    </w:tbl>
    <w:p w14:paraId="5F77C05A">
      <w:pPr>
        <w:jc w:val="center"/>
        <w:rPr>
          <w:b/>
          <w:sz w:val="28"/>
          <w:szCs w:val="28"/>
        </w:rPr>
        <w:sectPr>
          <w:headerReference r:id="rId3" w:type="default"/>
          <w:footerReference r:id="rId4" w:type="default"/>
          <w:pgSz w:w="11906" w:h="16838"/>
          <w:pgMar w:top="2025" w:right="1800" w:bottom="1440" w:left="1800" w:header="851" w:footer="992" w:gutter="0"/>
          <w:cols w:space="720" w:num="1"/>
          <w:titlePg/>
          <w:docGrid w:type="lines" w:linePitch="312" w:charSpace="0"/>
        </w:sectPr>
      </w:pPr>
    </w:p>
    <w:p w14:paraId="18537933">
      <w:pPr>
        <w:pStyle w:val="31"/>
        <w:numPr>
          <w:ilvl w:val="0"/>
          <w:numId w:val="2"/>
        </w:numPr>
        <w:wordWrap w:val="0"/>
        <w:spacing w:line="360" w:lineRule="auto"/>
        <w:ind w:firstLineChars="0"/>
        <w:outlineLvl w:val="0"/>
        <w:rPr>
          <w:rFonts w:hint="eastAsia" w:ascii="黑体" w:hAnsi="黑体" w:eastAsia="黑体"/>
          <w:sz w:val="36"/>
          <w:szCs w:val="36"/>
        </w:rPr>
      </w:pPr>
      <w:r>
        <w:rPr>
          <w:rFonts w:ascii="黑体" w:hAnsi="黑体" w:eastAsia="黑体"/>
          <w:sz w:val="36"/>
          <w:szCs w:val="36"/>
        </w:rPr>
        <w:t>问题的提出</w:t>
      </w:r>
    </w:p>
    <w:p w14:paraId="5CEC8857">
      <w:pPr>
        <w:spacing w:line="360" w:lineRule="auto"/>
        <w:ind w:firstLine="480" w:firstLineChars="200"/>
        <w:rPr>
          <w:rFonts w:hint="eastAsia" w:ascii="Times New Roman" w:hAnsi="Times New Roman" w:eastAsia="宋体" w:cs="宋体"/>
          <w:sz w:val="24"/>
          <w:szCs w:val="24"/>
        </w:rPr>
      </w:pPr>
      <w:r>
        <w:rPr>
          <w:rFonts w:hint="eastAsia" w:ascii="Times New Roman" w:hAnsi="Times New Roman" w:eastAsia="宋体" w:cs="宋体"/>
          <w:sz w:val="24"/>
          <w:szCs w:val="24"/>
        </w:rPr>
        <w:t>癌症分型在精准医学中具有重要作用，能够为个体化治疗方案制定和患者预后评估提供支持[1]。然而，癌症数据普遍存在数据不平衡问题[2]。此外，不同分子层面的组学数据在特征维度、稀疏程度和信息含量上存在显著差异，阻碍了多组学数据的有效整合[3]。这些问题严重限制了癌症亚型分类的准确性。因此，同时解决数据不平衡和多组学融合问题，仍然是癌症分型研究中的重要挑战。</w:t>
      </w:r>
    </w:p>
    <w:p w14:paraId="2FBE9B60">
      <w:pPr>
        <w:spacing w:line="360" w:lineRule="auto"/>
        <w:ind w:firstLine="480" w:firstLineChars="200"/>
        <w:rPr>
          <w:rFonts w:hint="eastAsia" w:ascii="Times New Roman" w:hAnsi="Times New Roman" w:eastAsia="宋体" w:cs="宋体"/>
          <w:sz w:val="24"/>
          <w:szCs w:val="24"/>
        </w:rPr>
      </w:pPr>
      <w:r>
        <w:rPr>
          <w:rFonts w:hint="eastAsia" w:ascii="Times New Roman" w:hAnsi="Times New Roman" w:eastAsia="宋体" w:cs="宋体"/>
          <w:sz w:val="24"/>
          <w:szCs w:val="24"/>
        </w:rPr>
        <w:t>数据不平衡表现为多个层面，包括癌症亚型之间的类别不平衡、不同组学模态之间的特征不平衡，以及图结构表示中的拓扑不平衡[2,13]。现有类别不平衡处理方法主要从数据层面、算法层面和集成策略三个方面展开。例如，SMOTE 在数据层面通过特征空间插值生成合成样本，从而缓解数据不平衡问题[4]。然而，当少数类样本数量极少时，该方法可能难以充分刻画真实数据分布。GAN 和 VAE 等生成模型则从算法层面学习潜在数据分布，以生成更接近真实分布的合成样本[5-6]。与直接改变数据的方法不同，Focal Loss 采用代价敏感策略处理不平衡问题，通过降低易分类样本的权重，使模型在学习过程中动态关注难分类样本和少数类样本[7]。集成策略则通过聚合多个在重平衡子集上训练的学习器，进一步提高模型的鲁棒性[8-9]。尽管这些方法能够缓解类别不平衡问题，但多数方法只是简单地将样本划分为少数类和多数类。这种二分方式难以描述数据内部的分布结构，也难以适应多组学数据中常见的梯度式不平衡特征。</w:t>
      </w:r>
    </w:p>
    <w:p w14:paraId="2A2B1FB7">
      <w:pPr>
        <w:spacing w:line="360" w:lineRule="auto"/>
        <w:ind w:firstLine="480" w:firstLineChars="200"/>
        <w:rPr>
          <w:rFonts w:hint="eastAsia" w:ascii="Times New Roman" w:hAnsi="Times New Roman" w:eastAsia="宋体" w:cs="宋体"/>
          <w:sz w:val="24"/>
          <w:szCs w:val="24"/>
        </w:rPr>
      </w:pPr>
      <w:r>
        <w:rPr>
          <w:rFonts w:hint="eastAsia" w:ascii="Times New Roman" w:hAnsi="Times New Roman" w:eastAsia="宋体" w:cs="宋体"/>
          <w:sz w:val="24"/>
          <w:szCs w:val="24"/>
        </w:rPr>
        <w:t>在多组学数据中，不同组学模态在维度和稀疏程度上存在明显差异，导致分子层面之间出现特征不平衡，并对特征提取造成直接影响。针对这一问题，MOVE 使用多组学变分自编码器对不同模态进行联合降维，从而建立统一的低维表示[10]。MoGCN 进一步引入图卷积网络，先使用自编码器提取紧凑特征，再结合图结构进行分类[11]。然而，这类方法可能忽略少数类特征在高维空间中的分布偏斜。AE-CTGAN 通过引入自编码器框架，在降维的同时对少数类特征进行增强，从而缓解这一问题[12]。但是，当多组学数据存在极高稀疏性和严重偏斜的模态分布时，如何在不丢失跨组学交互信息的前提下实现平衡的特征提取，仍然是一个尚未充分解决的问题。</w:t>
      </w:r>
    </w:p>
    <w:p w14:paraId="2A474560">
      <w:pPr>
        <w:spacing w:line="360" w:lineRule="auto"/>
        <w:ind w:firstLine="480" w:firstLineChars="200"/>
        <w:rPr>
          <w:rFonts w:hint="eastAsia" w:ascii="Times New Roman" w:hAnsi="Times New Roman" w:eastAsia="宋体" w:cs="宋体"/>
          <w:sz w:val="24"/>
          <w:szCs w:val="24"/>
        </w:rPr>
      </w:pPr>
      <w:r>
        <w:rPr>
          <w:rFonts w:hint="eastAsia" w:ascii="Times New Roman" w:hAnsi="Times New Roman" w:eastAsia="宋体" w:cs="宋体"/>
          <w:sz w:val="24"/>
          <w:szCs w:val="24"/>
        </w:rPr>
        <w:t>图学习的引入为不平衡数据建模带来了新的挑战，其中图结构中的拓扑不平衡已成为一个关键问题[13]。少数类节点通常处于结构不利位置，并在消息传递过程中接收较弱的监督信号。为了解决这一问题，GraphSMOTE 在嵌入空间中生成少数类节点，并使用可学习的生成器构造边[14]。TAM 采用另一种策略，通过引入拓扑感知间隔，根据节点连接模式自适应调整决策边界[15]。此外，ReNode 为少数类节点分配拓扑感知权重，重新平衡其在传播过程中的影响，从而缓解少数类节点在图结构中的边缘化问题[16]。尽管现有方法能够在一定程度上缓解图结构数据中的拓扑不平衡，但它们在处理多组学数据中更加复杂的场景时仍然存在局限。</w:t>
      </w:r>
    </w:p>
    <w:p w14:paraId="6404DF0E">
      <w:pPr>
        <w:spacing w:line="360" w:lineRule="auto"/>
        <w:ind w:firstLine="480" w:firstLineChars="200"/>
        <w:rPr>
          <w:rFonts w:hint="eastAsia" w:ascii="Times New Roman" w:hAnsi="Times New Roman" w:eastAsia="宋体" w:cs="宋体"/>
          <w:sz w:val="24"/>
          <w:szCs w:val="24"/>
        </w:rPr>
      </w:pPr>
      <w:r>
        <w:rPr>
          <w:rFonts w:hint="eastAsia" w:ascii="Times New Roman" w:hAnsi="Times New Roman" w:eastAsia="宋体" w:cs="宋体"/>
          <w:sz w:val="24"/>
          <w:szCs w:val="24"/>
        </w:rPr>
        <w:t>有效融合多组学数据也是提高癌症亚型分类准确性的关键。MoGCN 将自编码器与图卷积网络结合，用于多组学数据整合[11]。MOGONET 通过多视图图神经网络联合探索模态特异学习和跨组学关联[17]。基于异质多层图的多组学图神经网络框架进一步将多组学数据建模为异质多层图，以嵌入组学内部和组学之间的连接关系[18]。MMGN 将多重网络与泛癌多组学数据结合，采用图神经网络和负样本推断识别癌症驱动基因，并通过互信息和一致性正则项增强基因特征学习[19]。DrugCellGNN 将多组学数据拼接为经过 PCA 降维的特征矩阵，通过加权融合相似性度量构建相似网络，并使用图卷积网络实现多组学数据融合[20]。尽管这些方法在特征提取和图融合方面取得了一定进展，但在融合过程中，仍然缺少一种能够同时处理类别不平衡、特征不平衡和拓扑不平衡的整体解决方案。</w:t>
      </w:r>
    </w:p>
    <w:p w14:paraId="3B3EB999">
      <w:pPr>
        <w:spacing w:line="360" w:lineRule="auto"/>
        <w:ind w:firstLine="480" w:firstLineChars="200"/>
        <w:rPr>
          <w:rFonts w:hint="eastAsia" w:ascii="Times New Roman" w:hAnsi="Times New Roman" w:eastAsia="宋体" w:cs="宋体"/>
          <w:sz w:val="24"/>
          <w:szCs w:val="24"/>
        </w:rPr>
      </w:pPr>
      <w:r>
        <w:rPr>
          <w:rFonts w:hint="eastAsia" w:ascii="Times New Roman" w:hAnsi="Times New Roman" w:eastAsia="宋体" w:cs="宋体"/>
          <w:sz w:val="24"/>
          <w:szCs w:val="24"/>
        </w:rPr>
        <w:t>综上所述，非平衡多组学癌症分型仍面临以下问题：现有类别不平衡方法多采用少数类和多数类二分策略，难以刻画癌症亚型样本规模的连续变化；现有多组学特征学习方法虽然能够降低高维噪声影响，但对不同模态之间的维度差异、稀疏差异以及少数类特征偏斜考虑不足；现有图不平衡方法主要面向单一图结构，难以适应多组学数据中类别不平衡、特征不平衡和拓扑不平衡相互耦合的复杂情况；现有多组学融合方法多关注如何提高融合表示质量，而缺少在融合过程中同步校正多层不平衡的统一建模方式。因此，研究一种能够同时考虑类别、特征和拓扑不平衡的多组学癌症分型方法，对于提高癌症亚型识别的准确性和稳定性具有重要意义。</w:t>
      </w:r>
    </w:p>
    <w:p w14:paraId="5220A258">
      <w:pPr>
        <w:spacing w:line="360" w:lineRule="auto"/>
        <w:outlineLvl w:val="0"/>
        <w:rPr>
          <w:rFonts w:hint="eastAsia" w:ascii="黑体" w:hAnsi="黑体" w:eastAsia="黑体"/>
          <w:sz w:val="36"/>
          <w:szCs w:val="36"/>
        </w:rPr>
      </w:pPr>
      <w:r>
        <w:rPr>
          <w:rFonts w:ascii="黑体" w:hAnsi="黑体" w:eastAsia="黑体"/>
          <w:sz w:val="36"/>
          <w:szCs w:val="36"/>
        </w:rPr>
        <w:t>二、课题研究内容</w:t>
      </w:r>
    </w:p>
    <w:p w14:paraId="4900E78E">
      <w:pPr>
        <w:spacing w:before="240" w:after="240" w:line="360" w:lineRule="auto"/>
        <w:outlineLvl w:val="1"/>
        <w:rPr>
          <w:rFonts w:hint="eastAsia" w:ascii="黑体" w:hAnsi="黑体" w:eastAsia="黑体"/>
          <w:sz w:val="32"/>
          <w:szCs w:val="32"/>
        </w:rPr>
      </w:pPr>
      <w:r>
        <w:rPr>
          <w:rFonts w:ascii="黑体" w:hAnsi="黑体" w:eastAsia="黑体"/>
          <w:sz w:val="32"/>
          <w:szCs w:val="32"/>
        </w:rPr>
        <w:t>2.</w:t>
      </w:r>
      <w:r>
        <w:rPr>
          <w:rFonts w:hint="eastAsia" w:ascii="黑体" w:hAnsi="黑体" w:eastAsia="黑体"/>
          <w:sz w:val="32"/>
          <w:szCs w:val="32"/>
        </w:rPr>
        <w:t xml:space="preserve">1 </w:t>
      </w:r>
      <w:r>
        <w:rPr>
          <w:rFonts w:ascii="黑体" w:hAnsi="黑体" w:eastAsia="黑体"/>
          <w:sz w:val="32"/>
          <w:szCs w:val="32"/>
        </w:rPr>
        <w:t>主要研究内容</w:t>
      </w:r>
    </w:p>
    <w:p w14:paraId="3A155C4E">
      <w:pPr>
        <w:spacing w:line="360" w:lineRule="auto"/>
        <w:ind w:firstLine="480" w:firstLineChars="200"/>
        <w:rPr>
          <w:rFonts w:hint="eastAsia" w:ascii="Times New Roman" w:hAnsi="Times New Roman"/>
          <w:sz w:val="24"/>
        </w:rPr>
      </w:pPr>
      <w:bookmarkStart w:id="2" w:name="OLE_LINK50"/>
      <w:r>
        <w:rPr>
          <w:rFonts w:hint="eastAsia" w:ascii="Times New Roman" w:hAnsi="Times New Roman"/>
          <w:sz w:val="24"/>
        </w:rPr>
        <w:t>针对非平衡多组学癌症分型中同时存在的数据不平衡和多组学融合问题，本课题研究一种基于三分类引导多维图增强对比学习的癌症分型方法（Tri-class Guided Multi-dimensional Graph Enhanced Contrastive Learning，TRIGEL）。该方法主要包括三分类引导分层、多维图增强和对比融合分类三个部分。首先，根据不同癌症亚型的样本比例，将类别划分为少数类、中间类和多数类，以更细致地刻画类别规模差异；其次，在三分类引导下，从特征维度和拓扑维度对多组学患者图进行增强，以缓解特征不平衡和拓扑不平衡；最后，通过图对比学习对原始图视图和增强图视图进行表示对齐，并利用节点级注意力机制融合不同组学模态的患者表示，从而完成癌症亚型分类。</w:t>
      </w:r>
    </w:p>
    <w:p w14:paraId="182C709D">
      <w:pPr>
        <w:spacing w:line="360" w:lineRule="auto"/>
        <w:ind w:firstLine="480" w:firstLineChars="200"/>
        <w:rPr>
          <w:rFonts w:hint="eastAsia" w:ascii="Times New Roman" w:hAnsi="Times New Roman"/>
          <w:sz w:val="24"/>
        </w:rPr>
      </w:pPr>
      <w:r>
        <w:rPr>
          <w:rFonts w:hint="eastAsia" w:ascii="Times New Roman" w:hAnsi="Times New Roman"/>
          <w:sz w:val="24"/>
        </w:rPr>
        <w:t>（1）三分类引导分层。针对传统不平衡处理方法通常只区分少数类和多数类，难以描述癌症亚型样本规模连续变化的问题，本课题根据训练集中各癌症亚型的样本比例进行类别分层。对于每一种组学模态，首先构建患者相似图，并根据癌症亚型样本数量将类别划分为少数类、中间类和多数类。与传统二分类划分方式相比，三分类引导分层能够显式保留中等规模类别，使类别规模差异从简单的少数类/多数类划分转变为更平滑的类别梯度，为后续特征增强、拓扑增强和类别平衡训练提供指导。</w:t>
      </w:r>
    </w:p>
    <w:p w14:paraId="51C53E89">
      <w:pPr>
        <w:spacing w:line="360" w:lineRule="auto"/>
        <w:ind w:firstLine="480" w:firstLineChars="200"/>
        <w:rPr>
          <w:rFonts w:hint="eastAsia" w:ascii="Times New Roman" w:hAnsi="Times New Roman"/>
          <w:sz w:val="24"/>
        </w:rPr>
      </w:pPr>
      <w:r>
        <w:rPr>
          <w:rFonts w:hint="eastAsia" w:ascii="Times New Roman" w:hAnsi="Times New Roman"/>
          <w:sz w:val="24"/>
        </w:rPr>
        <w:t>（2）多维图增强。针对多组学数据中的特征不平衡和图结构中的拓扑不平衡问题，本课题设计多维图增强机制。在特征维度上，根据特征重要性和类别分层结果设置差异化掩蔽强度。对于少数类节点，保留更多特征信息，以避免关键判别特征被过度削弱；对于中间类节点，采用适度的特征扰动；对于多数类节点，则对低重要性特征进行更强的掩蔽，以降低多数类特征对训练过程的主导作用。在拓扑维度上，根据节点所属类别调整图中的边连接关系和边权。对于少数类节点，增加连接并提高边权，以扩大其邻域信息来源；对于多数类节点，删除部分弱连接并降低边权，以减少冗余传播；对于中间类节点，则进行适度调整。通过特征增强和拓扑增强的联合设计，模型能够在保留关键判别结构和分布信息的同时，缓解多组学数据中的多层不平衡问题。</w:t>
      </w:r>
    </w:p>
    <w:p w14:paraId="7F21FEED">
      <w:pPr>
        <w:spacing w:line="360" w:lineRule="auto"/>
        <w:ind w:firstLine="480" w:firstLineChars="200"/>
        <w:rPr>
          <w:rFonts w:hint="eastAsia" w:ascii="Times New Roman" w:hAnsi="Times New Roman"/>
          <w:sz w:val="24"/>
        </w:rPr>
      </w:pPr>
      <w:r>
        <w:rPr>
          <w:rFonts w:hint="eastAsia" w:ascii="Times New Roman" w:hAnsi="Times New Roman"/>
          <w:sz w:val="24"/>
        </w:rPr>
        <w:t>（3）对比融合分类。针对非平衡条件下多组学数据融合困难的问题，本课题设计对比学习融合分类框架。对于每一种组学模态，将原始患者图和增强患者图作为两种视图输入图卷积编码器，学习患者节点表示[24]。随后，将同一患者在原始视图和增强视图中的表示作为正样本对，将不同患者之间的表示作为负样本对，通过对比学习约束增强前后表示的一致性[25]，使模型能够学习对特征扰动和拓扑扰动更加稳定的患者表示。在多组学融合阶段，采用节点级注意力机制为不同组学模态分配自适应权重[26]，并将各模态表示融合为最终患者表示。分类阶段结合类别平衡损失，减弱多数类样本对模型训练的影响[22]，最终实现非平衡多组学癌症亚型分类。</w:t>
      </w:r>
    </w:p>
    <w:p w14:paraId="1E787FFC">
      <w:pPr>
        <w:spacing w:line="360" w:lineRule="auto"/>
        <w:ind w:firstLine="480" w:firstLineChars="200"/>
        <w:rPr>
          <w:rFonts w:ascii="Times New Roman" w:hAnsi="Times New Roman"/>
          <w:sz w:val="24"/>
        </w:rPr>
      </w:pPr>
      <w:r>
        <w:rPr>
          <w:rFonts w:hint="eastAsia" w:ascii="Times New Roman" w:hAnsi="Times New Roman"/>
          <w:sz w:val="24"/>
        </w:rPr>
        <w:t>后续实验将在公开多组学癌症数据集上验证模型性能，并与现有不平衡学习方法、图学习方法和多组学融合方法进行对比。实验评价指标包括 Accuracy、F1-score、Macro-F1、Precision 和 Recall 等，其中重点关注 Macro-F1 和 Recall 等对非平衡分类更敏感的指标。同时，通过消融实验验证三分类引导分层、多维图增强和对比融合分类三个模块的有效性，并进一步开展参数敏感性分析和表示可视化分析，以验证模型在非平衡癌症分型任务中的稳定性和有效性。</w:t>
      </w:r>
    </w:p>
    <w:bookmarkEnd w:id="2"/>
    <w:p w14:paraId="5BE8EBEF">
      <w:pPr>
        <w:spacing w:before="240" w:after="240" w:line="360" w:lineRule="auto"/>
        <w:outlineLvl w:val="1"/>
        <w:rPr>
          <w:rFonts w:hint="eastAsia" w:ascii="黑体" w:hAnsi="黑体" w:eastAsia="黑体"/>
          <w:sz w:val="32"/>
          <w:szCs w:val="32"/>
        </w:rPr>
      </w:pPr>
      <w:r>
        <w:rPr>
          <w:rFonts w:ascii="黑体" w:hAnsi="黑体" w:eastAsia="黑体"/>
          <w:sz w:val="32"/>
          <w:szCs w:val="32"/>
        </w:rPr>
        <w:t>2.</w:t>
      </w:r>
      <w:r>
        <w:rPr>
          <w:rFonts w:hint="eastAsia" w:ascii="黑体" w:hAnsi="黑体" w:eastAsia="黑体"/>
          <w:sz w:val="32"/>
          <w:szCs w:val="32"/>
        </w:rPr>
        <w:t xml:space="preserve">2 </w:t>
      </w:r>
      <w:r>
        <w:rPr>
          <w:rFonts w:ascii="黑体" w:hAnsi="黑体" w:eastAsia="黑体"/>
          <w:sz w:val="32"/>
          <w:szCs w:val="32"/>
        </w:rPr>
        <w:t>研究的创新性</w:t>
      </w:r>
    </w:p>
    <w:p w14:paraId="392FDB52">
      <w:pPr>
        <w:spacing w:line="360" w:lineRule="auto"/>
        <w:ind w:firstLine="480" w:firstLineChars="200"/>
        <w:rPr>
          <w:rFonts w:hint="eastAsia" w:ascii="Times New Roman" w:hAnsi="Times New Roman"/>
          <w:sz w:val="24"/>
          <w:szCs w:val="30"/>
        </w:rPr>
      </w:pPr>
      <w:bookmarkStart w:id="3" w:name="OLE_LINK51"/>
      <w:bookmarkStart w:id="4" w:name="OLE_LINK1"/>
      <w:r>
        <w:rPr>
          <w:rFonts w:hint="eastAsia" w:ascii="Times New Roman" w:hAnsi="Times New Roman"/>
          <w:sz w:val="24"/>
          <w:szCs w:val="30"/>
        </w:rPr>
        <w:t>（1）针对类别不平衡问题，提出三分类引导分层策略。现有不平衡处理方法通常只将样本划分为少数类和多数类，这种二分方式难以描述癌症亚型样本规模的内部差异。本课题根据样本比例将癌症亚型划分为少数类、中间类和多数类，更细致地刻画数据内部的分布结构和类别之间渐进的密度差异，为后续多维图增强提供类别引导信息。</w:t>
      </w:r>
    </w:p>
    <w:p w14:paraId="720018BE">
      <w:pPr>
        <w:spacing w:line="360" w:lineRule="auto"/>
        <w:ind w:firstLine="480" w:firstLineChars="200"/>
        <w:rPr>
          <w:rFonts w:hint="eastAsia" w:ascii="Times New Roman" w:hAnsi="Times New Roman"/>
          <w:sz w:val="24"/>
          <w:szCs w:val="30"/>
        </w:rPr>
      </w:pPr>
      <w:r>
        <w:rPr>
          <w:rFonts w:hint="eastAsia" w:ascii="Times New Roman" w:hAnsi="Times New Roman"/>
          <w:sz w:val="24"/>
          <w:szCs w:val="30"/>
        </w:rPr>
        <w:t>（2）针对特征不平衡和拓扑不平衡问题，提出多维图增强机制。在特征维度上，TRIGEL 根据特征重要性权重和类别差异化强度进行特征掩蔽，以缓解不同组学模态之间的特征偏斜。在拓扑维度上，TRIGEL 为少数类节点增加边并提高边权，为多数类节点删除边并降低边权，同时对中间类节点进行适度调整。该多维增强策略能够在缓解多组学数据不平衡的同时，保留关键判别结构和分布信息。</w:t>
      </w:r>
    </w:p>
    <w:p w14:paraId="5ED8AC1D">
      <w:pPr>
        <w:spacing w:line="360" w:lineRule="auto"/>
        <w:ind w:firstLine="480" w:firstLineChars="200"/>
        <w:rPr>
          <w:rFonts w:hint="eastAsia" w:ascii="Times New Roman" w:hAnsi="Times New Roman"/>
          <w:sz w:val="24"/>
          <w:szCs w:val="30"/>
        </w:rPr>
      </w:pPr>
      <w:r>
        <w:rPr>
          <w:rFonts w:hint="eastAsia" w:ascii="Times New Roman" w:hAnsi="Times New Roman"/>
          <w:sz w:val="24"/>
          <w:szCs w:val="30"/>
        </w:rPr>
        <w:t>（3）针对非平衡多组学数据融合问题，设计对比学习融合分类框架。TRIGEL 在类别平衡目标下对增强后的多组学视图进行表示对齐，并通过节点级注意力机制融合不同组学模态的患者表示。该框架将跨组学整合和不平衡缓解放在统一流程中，使二者能够相互促进，从而提升非平衡癌症分型的表示学习能力和分类性能。</w:t>
      </w:r>
    </w:p>
    <w:bookmarkEnd w:id="3"/>
    <w:bookmarkEnd w:id="4"/>
    <w:p w14:paraId="5E99FF2F">
      <w:pPr>
        <w:spacing w:line="360" w:lineRule="auto"/>
        <w:outlineLvl w:val="0"/>
        <w:rPr>
          <w:rFonts w:hint="eastAsia" w:ascii="黑体" w:hAnsi="黑体" w:eastAsia="黑体"/>
          <w:sz w:val="36"/>
          <w:szCs w:val="36"/>
        </w:rPr>
      </w:pPr>
      <w:r>
        <w:rPr>
          <w:rFonts w:ascii="黑体" w:hAnsi="黑体" w:eastAsia="黑体"/>
          <w:sz w:val="36"/>
          <w:szCs w:val="36"/>
        </w:rPr>
        <w:t>三、研究进展及阶段性成果</w:t>
      </w:r>
    </w:p>
    <w:p w14:paraId="54DF848A">
      <w:pPr>
        <w:spacing w:before="240" w:after="240" w:line="360" w:lineRule="auto"/>
        <w:outlineLvl w:val="1"/>
        <w:rPr>
          <w:rFonts w:hint="eastAsia" w:ascii="黑体" w:hAnsi="黑体" w:eastAsia="黑体"/>
          <w:sz w:val="32"/>
          <w:szCs w:val="32"/>
        </w:rPr>
      </w:pPr>
      <w:r>
        <w:rPr>
          <w:rFonts w:ascii="黑体" w:hAnsi="黑体" w:eastAsia="黑体"/>
          <w:sz w:val="32"/>
          <w:szCs w:val="32"/>
        </w:rPr>
        <w:t>3.</w:t>
      </w:r>
      <w:r>
        <w:rPr>
          <w:rFonts w:hint="eastAsia" w:ascii="黑体" w:hAnsi="黑体" w:eastAsia="黑体"/>
          <w:sz w:val="32"/>
          <w:szCs w:val="32"/>
        </w:rPr>
        <w:t xml:space="preserve">1 </w:t>
      </w:r>
      <w:r>
        <w:rPr>
          <w:rFonts w:ascii="黑体" w:hAnsi="黑体" w:eastAsia="黑体"/>
          <w:sz w:val="32"/>
          <w:szCs w:val="32"/>
        </w:rPr>
        <w:t>课题研究进展</w:t>
      </w:r>
    </w:p>
    <w:p w14:paraId="4E4DDD30">
      <w:pPr>
        <w:autoSpaceDE w:val="0"/>
        <w:autoSpaceDN w:val="0"/>
        <w:adjustRightInd w:val="0"/>
        <w:spacing w:line="360" w:lineRule="auto"/>
        <w:ind w:firstLine="480" w:firstLineChars="200"/>
        <w:jc w:val="left"/>
        <w:rPr>
          <w:rFonts w:hint="eastAsia" w:ascii="Times New Roman" w:hAnsi="Times New Roman" w:cs="Times New Roman"/>
          <w:sz w:val="24"/>
          <w:szCs w:val="30"/>
        </w:rPr>
      </w:pPr>
      <w:r>
        <w:rPr>
          <w:rFonts w:hint="eastAsia" w:ascii="Times New Roman" w:hAnsi="Times New Roman" w:cs="Times New Roman"/>
          <w:sz w:val="24"/>
          <w:szCs w:val="30"/>
        </w:rPr>
        <w:t>本课题目前已完成 TRIGEL 方法的总体框架设计。</w:t>
      </w:r>
      <w:r>
        <w:rPr>
          <w:rFonts w:hint="eastAsia" w:ascii="Times New Roman" w:hAnsi="Times New Roman" w:cs="Times New Roman"/>
          <w:sz w:val="24"/>
          <w:szCs w:val="30"/>
          <w:highlight w:val="yellow"/>
        </w:rPr>
        <w:t>TRIGEL 面向非平衡多组学癌症分型任务</w:t>
      </w:r>
      <w:r>
        <w:rPr>
          <w:rFonts w:hint="eastAsia" w:ascii="Times New Roman" w:hAnsi="Times New Roman" w:cs="Times New Roman"/>
          <w:sz w:val="24"/>
          <w:szCs w:val="30"/>
        </w:rPr>
        <w:t>，主要由三分类引导分层模块、多维图增强模块和对比融合分类模块组成。模型总体流程如图 3.1 所示。</w:t>
      </w:r>
    </w:p>
    <w:p w14:paraId="2790AB8A">
      <w:pPr>
        <w:autoSpaceDE w:val="0"/>
        <w:autoSpaceDN w:val="0"/>
        <w:adjustRightInd w:val="0"/>
        <w:spacing w:line="360" w:lineRule="auto"/>
        <w:ind w:firstLine="480" w:firstLineChars="200"/>
        <w:jc w:val="left"/>
        <w:rPr>
          <w:rFonts w:hint="eastAsia" w:ascii="Times New Roman" w:hAnsi="Times New Roman" w:cs="Times New Roman"/>
          <w:sz w:val="24"/>
          <w:szCs w:val="30"/>
        </w:rPr>
      </w:pPr>
    </w:p>
    <w:p w14:paraId="5E8299A1">
      <w:pPr>
        <w:spacing w:line="300" w:lineRule="auto"/>
        <w:ind w:firstLine="420" w:firstLineChars="200"/>
        <w:jc w:val="center"/>
        <w:rPr>
          <w:rFonts w:ascii="Times New Roman" w:hAnsi="Times New Roman"/>
          <w:kern w:val="0"/>
          <w:sz w:val="24"/>
          <w:highlight w:val="yellow"/>
          <w:lang w:bidi="ar"/>
        </w:rPr>
      </w:pPr>
      <w:r>
        <w:rPr>
          <w:rFonts w:hint="eastAsia"/>
          <w:bCs/>
          <w:szCs w:val="21"/>
          <w:highlight w:val="yellow"/>
        </w:rPr>
        <w:t>图</w:t>
      </w:r>
      <w:r>
        <w:rPr>
          <w:bCs/>
          <w:szCs w:val="21"/>
          <w:highlight w:val="yellow"/>
        </w:rPr>
        <w:t>1</w:t>
      </w:r>
      <w:r>
        <w:rPr>
          <w:rFonts w:hint="eastAsia"/>
          <w:bCs/>
          <w:szCs w:val="21"/>
          <w:highlight w:val="yellow"/>
        </w:rPr>
        <w:t xml:space="preserve"> TRIGEL 模型总体框架图</w:t>
      </w:r>
    </w:p>
    <w:p w14:paraId="04AF3F6D">
      <w:pPr>
        <w:autoSpaceDE w:val="0"/>
        <w:autoSpaceDN w:val="0"/>
        <w:adjustRightInd w:val="0"/>
        <w:spacing w:line="360" w:lineRule="auto"/>
        <w:ind w:firstLine="480" w:firstLineChars="200"/>
        <w:rPr>
          <w:rFonts w:ascii="Times New Roman" w:hAnsi="Times New Roman"/>
          <w:sz w:val="24"/>
        </w:rPr>
      </w:pPr>
      <w:r>
        <w:rPr>
          <w:rFonts w:hint="eastAsia" w:ascii="Times New Roman" w:hAnsi="Times New Roman"/>
          <w:sz w:val="24"/>
        </w:rPr>
        <w:t>TRIGEL 首先针对每一种组学模态构建患者相似图，并根据癌症亚型样本数量将类别划分为少数类、中间类和多数类；随后，在类别分层结果的引导下，对每个组学图分别进行特征增强和拓扑增强，得到类别感知的增强图；最后，将原始图和增强图输入图卷积编码器，通过对比学习对齐增强前后的患者表示，并利用节点级自注意力机制融合不同组学模态的表示，完成癌症亚型分类。</w:t>
      </w:r>
    </w:p>
    <w:p w14:paraId="5E8AE088">
      <w:pPr>
        <w:keepNext/>
        <w:keepLines/>
        <w:spacing w:before="120" w:after="120" w:line="300" w:lineRule="auto"/>
        <w:outlineLvl w:val="2"/>
        <w:rPr>
          <w:rFonts w:hint="eastAsia" w:ascii="宋体" w:hAnsi="宋体"/>
          <w:b/>
          <w:bCs/>
          <w:sz w:val="28"/>
          <w:szCs w:val="28"/>
        </w:rPr>
      </w:pPr>
      <w:r>
        <w:rPr>
          <w:rFonts w:ascii="宋体" w:hAnsi="宋体"/>
          <w:b/>
          <w:bCs/>
          <w:sz w:val="28"/>
          <w:szCs w:val="28"/>
        </w:rPr>
        <w:t>3</w:t>
      </w:r>
      <w:r>
        <w:rPr>
          <w:rFonts w:hint="eastAsia" w:ascii="宋体" w:hAnsi="宋体"/>
          <w:b/>
          <w:bCs/>
          <w:sz w:val="28"/>
          <w:szCs w:val="28"/>
        </w:rPr>
        <w:t>.1.1 三分类引导分层模块</w:t>
      </w:r>
    </w:p>
    <w:p w14:paraId="10D4B852">
      <w:pPr>
        <w:pStyle w:val="4"/>
        <w:spacing w:before="120" w:after="120" w:line="300" w:lineRule="auto"/>
        <w:jc w:val="left"/>
        <w:rPr>
          <w:rFonts w:hint="eastAsia" w:ascii="宋体" w:hAnsi="宋体" w:eastAsia="宋体" w:cs="宋体"/>
          <w:b w:val="0"/>
          <w:bCs w:val="0"/>
          <w:sz w:val="24"/>
          <w:szCs w:val="24"/>
          <w:lang w:bidi="ar"/>
        </w:rPr>
      </w:pPr>
      <w:r>
        <w:rPr>
          <w:rFonts w:hint="eastAsia" w:ascii="宋体" w:hAnsi="宋体" w:eastAsia="宋体" w:cs="宋体"/>
          <w:b w:val="0"/>
          <w:bCs w:val="0"/>
          <w:sz w:val="24"/>
          <w:szCs w:val="24"/>
          <w:lang w:bidi="ar"/>
        </w:rPr>
        <w:t>3.1.1.1 患者相似图构建</w:t>
      </w:r>
    </w:p>
    <w:p w14:paraId="6C60F459">
      <w:pPr>
        <w:keepNext w:val="0"/>
        <w:keepLines w:val="0"/>
        <w:pageBreakBefore w:val="0"/>
        <w:widowControl/>
        <w:kinsoku/>
        <w:wordWrap/>
        <w:overflowPunct/>
        <w:topLinePunct w:val="0"/>
        <w:autoSpaceDE/>
        <w:autoSpaceDN/>
        <w:bidi w:val="0"/>
        <w:adjustRightInd w:val="0"/>
        <w:snapToGrid w:val="0"/>
        <w:spacing w:line="360" w:lineRule="auto"/>
        <w:ind w:firstLine="480" w:firstLineChars="200"/>
        <w:textAlignment w:val="auto"/>
        <w:rPr>
          <w:rFonts w:hint="eastAsia" w:ascii="Times New Roman" w:hAnsi="Times New Roman"/>
          <w:sz w:val="24"/>
        </w:rPr>
      </w:pPr>
      <w:r>
        <w:rPr>
          <w:rFonts w:hint="eastAsia" w:ascii="Times New Roman" w:hAnsi="Times New Roman"/>
          <w:sz w:val="24"/>
        </w:rPr>
        <w:t xml:space="preserve">三分类引导分层模块首先针对每一种组学模态构建患者相似图。设第 </w:t>
      </w:r>
      <m:oMath>
        <m:r>
          <m:rPr/>
          <w:rPr>
            <w:rFonts w:hint="default" w:ascii="Cambria Math" w:hAnsi="Cambria Math"/>
            <w:sz w:val="24"/>
          </w:rPr>
          <m:t>v</m:t>
        </m:r>
      </m:oMath>
      <w:r>
        <w:rPr>
          <w:rFonts w:hint="eastAsia" w:ascii="Times New Roman" w:hAnsi="Times New Roman"/>
          <w:sz w:val="24"/>
        </w:rPr>
        <w:t xml:space="preserve"> 种组学模态的特征矩阵为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ctrlPr>
              <w:rPr>
                <w:rFonts w:hint="default" w:ascii="Cambria Math" w:hAnsi="Cambria Math"/>
                <w:sz w:val="24"/>
              </w:rPr>
            </m:ctrlPr>
          </m:sup>
        </m:sSup>
      </m:oMath>
      <w:r>
        <w:rPr>
          <w:rFonts w:hint="eastAsia" w:ascii="Times New Roman" w:hAnsi="Times New Roman"/>
          <w:sz w:val="24"/>
        </w:rPr>
        <w:t xml:space="preserve">，其中 </w:t>
      </w:r>
      <m:oMath>
        <m:r>
          <m:rPr/>
          <w:rPr>
            <w:rFonts w:hint="default" w:ascii="Cambria Math" w:hAnsi="Cambria Math"/>
            <w:sz w:val="24"/>
          </w:rPr>
          <m:t>N</m:t>
        </m:r>
      </m:oMath>
      <w:r>
        <w:rPr>
          <w:rFonts w:hint="eastAsia" w:ascii="Times New Roman" w:hAnsi="Times New Roman"/>
          <w:sz w:val="24"/>
        </w:rPr>
        <w:t xml:space="preserve"> 表示患者数量，</w:t>
      </w:r>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oMath>
      <w:r>
        <w:rPr>
          <w:rFonts w:hint="eastAsia" w:ascii="Times New Roman" w:hAnsi="Times New Roman"/>
          <w:sz w:val="24"/>
        </w:rPr>
        <w:t xml:space="preserve">表示该组学模态的特征维度。对于患者 </w:t>
      </w:r>
      <m:oMath>
        <m:r>
          <m:rPr/>
          <w:rPr>
            <w:rFonts w:hint="default" w:ascii="Cambria Math" w:hAnsi="Cambria Math"/>
            <w:sz w:val="24"/>
          </w:rPr>
          <m:t>p</m:t>
        </m:r>
      </m:oMath>
      <w:r>
        <w:rPr>
          <w:rFonts w:hint="eastAsia" w:ascii="Times New Roman" w:hAnsi="Times New Roman"/>
          <w:sz w:val="24"/>
        </w:rPr>
        <w:t xml:space="preserve"> 和患者 </w:t>
      </w:r>
      <m:oMath>
        <m:r>
          <m:rPr/>
          <w:rPr>
            <w:rFonts w:hint="default" w:ascii="Cambria Math" w:hAnsi="Cambria Math"/>
            <w:sz w:val="24"/>
          </w:rPr>
          <m:t>q</m:t>
        </m:r>
      </m:oMath>
      <w:r>
        <w:rPr>
          <w:rFonts w:hint="eastAsia" w:ascii="Times New Roman" w:hAnsi="Times New Roman"/>
          <w:sz w:val="24"/>
        </w:rPr>
        <w:t xml:space="preserve">，采用余弦相似度计算二者在第 </w:t>
      </w:r>
      <m:oMath>
        <m:r>
          <m:rPr/>
          <w:rPr>
            <w:rFonts w:hint="default" w:ascii="Cambria Math" w:hAnsi="Cambria Math"/>
            <w:sz w:val="24"/>
          </w:rPr>
          <m:t>v</m:t>
        </m:r>
      </m:oMath>
      <w:r>
        <w:rPr>
          <w:rFonts w:hint="eastAsia" w:ascii="Times New Roman" w:hAnsi="Times New Roman"/>
          <w:sz w:val="24"/>
        </w:rPr>
        <w:t xml:space="preserve"> 种组学模态下的相似性：</w:t>
      </w:r>
    </w:p>
    <w:p w14:paraId="7AEF778E">
      <w:pPr>
        <w:keepNext w:val="0"/>
        <w:keepLines w:val="0"/>
        <w:pageBreakBefore w:val="0"/>
        <w:widowControl/>
        <w:kinsoku/>
        <w:wordWrap/>
        <w:overflowPunct/>
        <w:topLinePunct w:val="0"/>
        <w:autoSpaceDE/>
        <w:autoSpaceDN/>
        <w:bidi w:val="0"/>
        <w:adjustRightInd w:val="0"/>
        <w:snapToGrid w:val="0"/>
        <w:spacing w:line="360" w:lineRule="auto"/>
        <w:ind w:firstLine="480" w:firstLineChars="200"/>
        <w:textAlignment w:val="auto"/>
        <w:rPr>
          <w:rFonts w:hint="default" w:hAnsi="Cambria Math" w:eastAsia="宋体"/>
          <w:i w:val="0"/>
          <w:sz w:val="24"/>
        </w:rPr>
      </w:pPr>
      <m:oMathPara>
        <m:oMathParaPr>
          <m:jc m:val="right"/>
        </m:oMathParaPr>
        <m:oMath>
          <m:r>
            <m:rPr/>
            <w:rPr>
              <w:rFonts w:hint="default" w:ascii="Cambria Math" w:hAnsi="Cambria Math" w:eastAsia="宋体"/>
              <w:sz w:val="24"/>
            </w:rPr>
            <m:t>sim</m:t>
          </m:r>
          <m:d>
            <m:dPr>
              <m:ctrlPr>
                <w:rPr>
                  <w:rFonts w:hint="default" w:ascii="Cambria Math" w:hAnsi="Cambria Math" w:eastAsia="宋体"/>
                  <w:sz w:val="24"/>
                </w:rPr>
              </m:ctrlPr>
            </m:dPr>
            <m:e>
              <m:sSubSup>
                <m:sSubSupPr>
                  <m:ctrlPr>
                    <w:rPr>
                      <w:rFonts w:hint="default" w:ascii="Cambria Math" w:hAnsi="Cambria Math" w:eastAsia="宋体"/>
                      <w:sz w:val="24"/>
                    </w:rPr>
                  </m:ctrlPr>
                </m:sSubSupPr>
                <m:e>
                  <m:r>
                    <m:rPr>
                      <m:sty m:val="b"/>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m:sty m:val="b"/>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q</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ctrlPr>
                <w:rPr>
                  <w:rFonts w:hint="default" w:ascii="Cambria Math" w:hAnsi="Cambria Math" w:eastAsia="宋体"/>
                  <w:sz w:val="24"/>
                </w:rPr>
              </m:ctrlPr>
            </m:e>
          </m:d>
          <m:r>
            <m:rPr/>
            <w:rPr>
              <w:rFonts w:hint="default" w:ascii="Cambria Math" w:hAnsi="Cambria Math" w:eastAsia="宋体"/>
              <w:sz w:val="24"/>
            </w:rPr>
            <m:t>=</m:t>
          </m:r>
          <m:f>
            <m:fPr>
              <m:ctrlPr>
                <w:rPr>
                  <w:rFonts w:hint="default" w:ascii="Cambria Math" w:hAnsi="Cambria Math" w:eastAsia="宋体"/>
                  <w:sz w:val="24"/>
                </w:rPr>
              </m:ctrlPr>
            </m:fPr>
            <m:num>
              <m:sSup>
                <m:sSupPr>
                  <m:ctrlPr>
                    <w:rPr>
                      <w:rFonts w:hint="default" w:ascii="Cambria Math" w:hAnsi="Cambria Math" w:eastAsia="宋体"/>
                      <w:sz w:val="24"/>
                    </w:rPr>
                  </m:ctrlPr>
                </m:sSupPr>
                <m:e>
                  <m:d>
                    <m:dPr>
                      <m:ctrlPr>
                        <w:rPr>
                          <w:rFonts w:hint="default" w:ascii="Cambria Math" w:hAnsi="Cambria Math" w:eastAsia="宋体"/>
                          <w:sz w:val="24"/>
                        </w:rPr>
                      </m:ctrlPr>
                    </m:dPr>
                    <m:e>
                      <m:sSubSup>
                        <m:sSubSupPr>
                          <m:ctrlPr>
                            <w:rPr>
                              <w:rFonts w:hint="default" w:ascii="Cambria Math" w:hAnsi="Cambria Math" w:eastAsia="宋体"/>
                              <w:sz w:val="24"/>
                            </w:rPr>
                          </m:ctrlPr>
                        </m:sSubSupPr>
                        <m:e>
                          <m:r>
                            <m:rPr>
                              <m:sty m:val="b"/>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sz w:val="24"/>
                    </w:rPr>
                  </m:ctrlPr>
                </m:e>
                <m:sup>
                  <m:r>
                    <m:rPr/>
                    <w:rPr>
                      <w:rFonts w:hint="default" w:ascii="Cambria Math" w:hAnsi="Cambria Math" w:eastAsia="宋体"/>
                      <w:sz w:val="24"/>
                    </w:rPr>
                    <m:t>⊤</m:t>
                  </m:r>
                  <m:ctrlPr>
                    <w:rPr>
                      <w:rFonts w:hint="default" w:ascii="Cambria Math" w:hAnsi="Cambria Math" w:eastAsia="宋体"/>
                      <w:sz w:val="24"/>
                    </w:rPr>
                  </m:ctrlPr>
                </m:sup>
              </m:sSup>
              <m:sSubSup>
                <m:sSubSupPr>
                  <m:ctrlPr>
                    <w:rPr>
                      <w:rFonts w:hint="default" w:ascii="Cambria Math" w:hAnsi="Cambria Math" w:eastAsia="宋体"/>
                      <w:sz w:val="24"/>
                    </w:rPr>
                  </m:ctrlPr>
                </m:sSubSupPr>
                <m:e>
                  <m:r>
                    <m:rPr>
                      <m:sty m:val="b"/>
                    </m:rPr>
                    <w:rPr>
                      <w:rFonts w:hint="default" w:ascii="Cambria Math" w:hAnsi="Cambria Math" w:eastAsia="宋体"/>
                      <w:sz w:val="24"/>
                    </w:rPr>
                    <m:t>x</m:t>
                  </m:r>
                  <m:ctrlPr>
                    <w:rPr>
                      <w:rFonts w:hint="default" w:ascii="Cambria Math" w:hAnsi="Cambria Math" w:eastAsia="宋体"/>
                      <w:sz w:val="24"/>
                    </w:rPr>
                  </m:ctrlPr>
                </m:e>
                <m:sub>
                  <m:r>
                    <m:rPr/>
                    <w:rPr>
                      <w:rFonts w:hint="default" w:ascii="Cambria Math" w:hAnsi="Cambria Math" w:eastAsia="宋体"/>
                      <w:sz w:val="24"/>
                    </w:rPr>
                    <m:t>q</m:t>
                  </m:r>
                  <m:ctrlPr>
                    <w:rPr>
                      <w:rFonts w:hint="default" w:ascii="Cambria Math" w:hAnsi="Cambria Math" w:eastAsia="宋体"/>
                      <w:sz w:val="24"/>
                    </w:rPr>
                  </m:ctrlPr>
                </m:sub>
                <m:sup>
                  <m:r>
                    <m:rPr/>
                    <w:rPr>
                      <w:rFonts w:hint="default" w:ascii="Cambria Math" w:hAnsi="Cambria Math" w:eastAsia="宋体"/>
                      <w:sz w:val="24"/>
                    </w:rPr>
                    <m:t>(v)</m:t>
                  </m:r>
                  <m:ctrlPr>
                    <w:rPr>
                      <w:rFonts w:hint="default" w:ascii="Cambria Math" w:hAnsi="Cambria Math" w:eastAsia="宋体"/>
                      <w:sz w:val="24"/>
                    </w:rPr>
                  </m:ctrlPr>
                </m:sup>
              </m:sSubSup>
              <m:ctrlPr>
                <w:rPr>
                  <w:rFonts w:hint="default" w:ascii="Cambria Math" w:hAnsi="Cambria Math" w:eastAsia="宋体"/>
                  <w:sz w:val="24"/>
                </w:rPr>
              </m:ctrlPr>
            </m:num>
            <m:den>
              <m:sSub>
                <m:sSubPr>
                  <m:ctrlPr>
                    <w:rPr>
                      <w:rFonts w:hint="default" w:ascii="Cambria Math" w:hAnsi="Cambria Math" w:eastAsia="宋体"/>
                      <w:sz w:val="24"/>
                    </w:rPr>
                  </m:ctrlPr>
                </m:sSubPr>
                <m:e>
                  <m:d>
                    <m:dPr>
                      <m:begChr m:val="‖"/>
                      <m:endChr m:val="‖"/>
                      <m:ctrlPr>
                        <w:rPr>
                          <w:rFonts w:hint="default" w:ascii="Cambria Math" w:hAnsi="Cambria Math" w:eastAsia="宋体"/>
                          <w:sz w:val="24"/>
                        </w:rPr>
                      </m:ctrlPr>
                    </m:dPr>
                    <m:e>
                      <m:sSubSup>
                        <m:sSubSupPr>
                          <m:ctrlPr>
                            <w:rPr>
                              <w:rFonts w:hint="default" w:ascii="Cambria Math" w:hAnsi="Cambria Math" w:eastAsia="宋体"/>
                              <w:sz w:val="24"/>
                            </w:rPr>
                          </m:ctrlPr>
                        </m:sSubSupPr>
                        <m:e>
                          <m:r>
                            <m:rPr>
                              <m:sty m:val="b"/>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sz w:val="24"/>
                    </w:rPr>
                  </m:ctrlPr>
                </m:e>
                <m:sub>
                  <m:r>
                    <m:rPr/>
                    <w:rPr>
                      <w:rFonts w:hint="default" w:ascii="Cambria Math" w:hAnsi="Cambria Math" w:eastAsia="宋体"/>
                      <w:sz w:val="24"/>
                    </w:rPr>
                    <m:t>2</m:t>
                  </m:r>
                  <m:ctrlPr>
                    <w:rPr>
                      <w:rFonts w:hint="default" w:ascii="Cambria Math" w:hAnsi="Cambria Math" w:eastAsia="宋体"/>
                      <w:sz w:val="24"/>
                    </w:rPr>
                  </m:ctrlPr>
                </m:sub>
              </m:sSub>
              <m:sSub>
                <m:sSubPr>
                  <m:ctrlPr>
                    <w:rPr>
                      <w:rFonts w:hint="default" w:ascii="Cambria Math" w:hAnsi="Cambria Math" w:eastAsia="宋体"/>
                      <w:sz w:val="24"/>
                    </w:rPr>
                  </m:ctrlPr>
                </m:sSubPr>
                <m:e>
                  <m:d>
                    <m:dPr>
                      <m:begChr m:val="‖"/>
                      <m:endChr m:val="‖"/>
                      <m:ctrlPr>
                        <w:rPr>
                          <w:rFonts w:hint="default" w:ascii="Cambria Math" w:hAnsi="Cambria Math" w:eastAsia="宋体"/>
                          <w:sz w:val="24"/>
                        </w:rPr>
                      </m:ctrlPr>
                    </m:dPr>
                    <m:e>
                      <m:sSubSup>
                        <m:sSubSupPr>
                          <m:ctrlPr>
                            <w:rPr>
                              <w:rFonts w:hint="default" w:ascii="Cambria Math" w:hAnsi="Cambria Math" w:eastAsia="宋体"/>
                              <w:sz w:val="24"/>
                            </w:rPr>
                          </m:ctrlPr>
                        </m:sSubSupPr>
                        <m:e>
                          <m:r>
                            <m:rPr>
                              <m:sty m:val="b"/>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q</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sz w:val="24"/>
                    </w:rPr>
                  </m:ctrlPr>
                </m:e>
                <m:sub>
                  <m:r>
                    <m:rPr/>
                    <w:rPr>
                      <w:rFonts w:hint="default" w:ascii="Cambria Math" w:hAnsi="Cambria Math" w:eastAsia="宋体"/>
                      <w:sz w:val="24"/>
                    </w:rPr>
                    <m:t>2</m:t>
                  </m:r>
                  <m:ctrlPr>
                    <w:rPr>
                      <w:rFonts w:hint="default" w:ascii="Cambria Math" w:hAnsi="Cambria Math" w:eastAsia="宋体"/>
                      <w:sz w:val="24"/>
                    </w:rPr>
                  </m:ctrlPr>
                </m:sub>
              </m:sSub>
              <m:ctrlPr>
                <w:rPr>
                  <w:rFonts w:hint="default" w:ascii="Cambria Math" w:hAnsi="Cambria Math" w:eastAsia="宋体"/>
                  <w:sz w:val="24"/>
                </w:rPr>
              </m:ctrlPr>
            </m:den>
          </m:f>
          <m:r>
            <m:rPr/>
            <w:rPr>
              <w:rFonts w:hint="default" w:ascii="Cambria Math" w:hAnsi="Cambria Math" w:eastAsia="宋体"/>
              <w:sz w:val="24"/>
              <w:lang w:val="en-US" w:eastAsia="zh-CN"/>
            </w:rPr>
            <m:t xml:space="preserve">                                                       </m:t>
          </m:r>
          <m:r>
            <m:rPr/>
            <w:rPr>
              <w:rFonts w:hint="default" w:ascii="Cambria Math" w:hAnsi="Cambria Math" w:eastAsia="宋体"/>
              <w:sz w:val="24"/>
            </w:rPr>
            <m:t>(1)</m:t>
          </m:r>
        </m:oMath>
      </m:oMathPara>
    </w:p>
    <w:p w14:paraId="18E33FCA">
      <w:pPr>
        <w:keepNext w:val="0"/>
        <w:keepLines w:val="0"/>
        <w:pageBreakBefore w:val="0"/>
        <w:widowControl/>
        <w:kinsoku/>
        <w:wordWrap/>
        <w:overflowPunct/>
        <w:topLinePunct w:val="0"/>
        <w:autoSpaceDE/>
        <w:autoSpaceDN/>
        <w:bidi w:val="0"/>
        <w:adjustRightInd w:val="0"/>
        <w:snapToGrid w:val="0"/>
        <w:spacing w:line="360" w:lineRule="auto"/>
        <w:ind w:firstLine="480" w:firstLineChars="200"/>
        <w:textAlignment w:val="auto"/>
        <w:rPr>
          <w:rFonts w:hint="eastAsia" w:hAnsi="Cambria Math" w:eastAsia="宋体"/>
          <w:i w:val="0"/>
          <w:sz w:val="24"/>
        </w:rPr>
      </w:pPr>
      <w:r>
        <w:rPr>
          <w:rFonts w:hint="eastAsia" w:hAnsi="Cambria Math" w:eastAsia="宋体"/>
          <w:i w:val="0"/>
          <w:sz w:val="24"/>
        </w:rPr>
        <w:t>其中，</w:t>
      </w:r>
      <m:oMath>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oMath>
      <w:r>
        <w:rPr>
          <w:rFonts w:hint="eastAsia" w:hAnsi="Cambria Math" w:eastAsia="宋体"/>
          <w:i w:val="0"/>
          <w:sz w:val="24"/>
        </w:rPr>
        <w:t xml:space="preserve"> 和 </w:t>
      </w:r>
      <m:oMath>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q</m:t>
            </m:r>
            <m:ctrlPr>
              <w:rPr>
                <w:rFonts w:ascii="Cambria Math" w:hAnsi="Cambria Math" w:eastAsia="宋体"/>
                <w:sz w:val="24"/>
              </w:rPr>
            </m:ctrlPr>
          </m:sub>
          <m:sup>
            <m:r>
              <m:rPr/>
              <w:rPr>
                <w:rFonts w:hint="default" w:ascii="Cambria Math" w:hAnsi="Cambria Math" w:eastAsia="宋体"/>
                <w:sz w:val="24"/>
              </w:rPr>
              <m:t>(v)</m:t>
            </m:r>
            <m:ctrlPr>
              <w:rPr>
                <w:rFonts w:ascii="Cambria Math" w:hAnsi="Cambria Math" w:eastAsia="宋体"/>
                <w:sz w:val="24"/>
              </w:rPr>
            </m:ctrlPr>
          </m:sup>
        </m:sSubSup>
      </m:oMath>
      <w:r>
        <w:rPr>
          <w:rFonts w:hint="eastAsia" w:hAnsi="Cambria Math" w:eastAsia="宋体"/>
          <w:i w:val="0"/>
          <w:sz w:val="24"/>
        </w:rPr>
        <w:t xml:space="preserve">分别表示患者 </w:t>
      </w:r>
      <m:oMath>
        <m:r>
          <m:rPr/>
          <w:rPr>
            <w:rFonts w:hint="default" w:ascii="Cambria Math" w:hAnsi="Cambria Math" w:eastAsia="宋体"/>
            <w:sz w:val="24"/>
          </w:rPr>
          <m:t>p</m:t>
        </m:r>
      </m:oMath>
      <w:r>
        <w:rPr>
          <w:rFonts w:hint="eastAsia" w:hAnsi="Cambria Math"/>
          <w:i w:val="0"/>
          <w:sz w:val="24"/>
          <w:lang w:val="en-US" w:eastAsia="zh-CN"/>
        </w:rPr>
        <w:t xml:space="preserve"> </w:t>
      </w:r>
      <w:r>
        <w:rPr>
          <w:rFonts w:hint="eastAsia" w:hAnsi="Cambria Math" w:eastAsia="宋体"/>
          <w:i w:val="0"/>
          <w:sz w:val="24"/>
        </w:rPr>
        <w:t xml:space="preserve">和患者 </w:t>
      </w:r>
      <m:oMath>
        <m:r>
          <m:rPr/>
          <w:rPr>
            <w:rFonts w:hint="default" w:ascii="Cambria Math" w:hAnsi="Cambria Math" w:eastAsia="宋体"/>
            <w:sz w:val="24"/>
          </w:rPr>
          <m:t>q</m:t>
        </m:r>
      </m:oMath>
      <w:r>
        <w:rPr>
          <w:rFonts w:hint="eastAsia" w:hAnsi="Cambria Math" w:eastAsia="宋体"/>
          <w:i w:val="0"/>
          <w:sz w:val="24"/>
        </w:rPr>
        <w:t xml:space="preserve"> 在第 </w:t>
      </w:r>
      <m:oMath>
        <m:r>
          <m:rPr/>
          <w:rPr>
            <w:rFonts w:hint="default" w:ascii="Cambria Math" w:hAnsi="Cambria Math" w:eastAsia="宋体"/>
            <w:sz w:val="24"/>
          </w:rPr>
          <m:t>v</m:t>
        </m:r>
      </m:oMath>
      <w:r>
        <w:rPr>
          <w:rFonts w:hint="eastAsia" w:hAnsi="Cambria Math" w:eastAsia="宋体"/>
          <w:i w:val="0"/>
          <w:sz w:val="24"/>
        </w:rPr>
        <w:t xml:space="preserve"> 种组学模态下的特征向量。根据计算得到的相似性，为每个患者选择 </w:t>
      </w:r>
      <m:oMath>
        <m:r>
          <m:rPr/>
          <w:rPr>
            <w:rFonts w:hint="default" w:ascii="Cambria Math" w:hAnsi="Cambria Math" w:eastAsia="宋体"/>
            <w:sz w:val="24"/>
          </w:rPr>
          <m:t>k</m:t>
        </m:r>
      </m:oMath>
      <w:r>
        <w:rPr>
          <w:rFonts w:hint="eastAsia" w:hAnsi="Cambria Math" w:eastAsia="宋体"/>
          <w:i w:val="0"/>
          <w:sz w:val="24"/>
        </w:rPr>
        <w:t xml:space="preserve"> 个最近邻节点，并构建邻接矩阵 </w:t>
      </w:r>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0,1</m:t>
            </m:r>
            <m:ctrlPr>
              <w:rPr>
                <w:rFonts w:ascii="Cambria Math" w:hAnsi="Cambria Math" w:eastAsia="宋体"/>
                <w:sz w:val="24"/>
              </w:rPr>
            </m:ctrlPr>
          </m:e>
          <m:sup>
            <m:r>
              <m:rPr/>
              <w:rPr>
                <w:rFonts w:hint="default" w:ascii="Cambria Math" w:hAnsi="Cambria Math" w:eastAsia="宋体"/>
                <w:sz w:val="24"/>
              </w:rPr>
              <m:t>N×N</m:t>
            </m:r>
            <m:ctrlPr>
              <w:rPr>
                <w:rFonts w:ascii="Cambria Math" w:hAnsi="Cambria Math" w:eastAsia="宋体"/>
                <w:sz w:val="24"/>
              </w:rPr>
            </m:ctrlPr>
          </m:sup>
        </m:sSup>
      </m:oMath>
      <w:r>
        <w:rPr>
          <w:rFonts w:hint="eastAsia" w:hAnsi="Cambria Math" w:eastAsia="宋体"/>
          <w:i w:val="0"/>
          <w:sz w:val="24"/>
        </w:rPr>
        <w:t xml:space="preserve">。同时，在邻接矩阵中加入自环，使节点在图卷积过程中能够保留自身特征信息。由此得到第 </w:t>
      </w:r>
      <m:oMath>
        <m:r>
          <m:rPr/>
          <w:rPr>
            <w:rFonts w:hint="default" w:ascii="Cambria Math" w:hAnsi="Cambria Math" w:eastAsia="宋体"/>
            <w:sz w:val="24"/>
          </w:rPr>
          <m:t>v</m:t>
        </m:r>
      </m:oMath>
      <w:r>
        <w:rPr>
          <w:rFonts w:hint="eastAsia" w:hAnsi="Cambria Math" w:eastAsia="宋体"/>
          <w:i w:val="0"/>
          <w:sz w:val="24"/>
        </w:rPr>
        <w:t xml:space="preserve"> 种组学模态对应的患者相似图 </w:t>
      </w:r>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eastAsia="宋体"/>
          <w:i w:val="0"/>
          <w:sz w:val="24"/>
        </w:rPr>
        <w:t>。</w:t>
      </w:r>
    </w:p>
    <w:p w14:paraId="1CC32131">
      <w:pPr>
        <w:pStyle w:val="4"/>
        <w:spacing w:before="120" w:after="120" w:line="300" w:lineRule="auto"/>
        <w:jc w:val="left"/>
        <w:rPr>
          <w:rFonts w:hint="eastAsia" w:ascii="宋体" w:hAnsi="宋体" w:eastAsia="宋体" w:cs="宋体"/>
          <w:b w:val="0"/>
          <w:bCs w:val="0"/>
          <w:sz w:val="24"/>
          <w:szCs w:val="24"/>
          <w:lang w:bidi="ar"/>
        </w:rPr>
      </w:pPr>
      <w:r>
        <w:rPr>
          <w:rFonts w:hint="eastAsia" w:ascii="宋体" w:hAnsi="宋体" w:eastAsia="宋体" w:cs="宋体"/>
          <w:b w:val="0"/>
          <w:bCs w:val="0"/>
          <w:sz w:val="24"/>
          <w:szCs w:val="24"/>
          <w:lang w:bidi="ar"/>
        </w:rPr>
        <w:t>3.1.1.2</w:t>
      </w:r>
      <w:r>
        <w:rPr>
          <w:rFonts w:hint="eastAsia" w:ascii="宋体" w:hAnsi="宋体" w:eastAsia="宋体" w:cs="宋体"/>
          <w:b w:val="0"/>
          <w:bCs w:val="0"/>
          <w:sz w:val="24"/>
          <w:szCs w:val="24"/>
          <w:highlight w:val="yellow"/>
          <w:lang w:bidi="ar"/>
        </w:rPr>
        <w:t xml:space="preserve"> 三分类引导分层</w:t>
      </w:r>
    </w:p>
    <w:p w14:paraId="2E65812C">
      <w:pPr>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为了对不同样本规模的癌症亚型进行差异化处理，本课题根据训练集中各亚型的样本比例进行三分类引导分层。设癌症分型任务中共有 </w:t>
      </w:r>
      <m:oMath>
        <m:r>
          <m:rPr/>
          <w:rPr>
            <w:rFonts w:hint="default" w:ascii="Cambria Math" w:hAnsi="Cambria Math"/>
            <w:sz w:val="24"/>
          </w:rPr>
          <m:t>C</m:t>
        </m:r>
      </m:oMath>
      <w:r>
        <w:rPr>
          <w:rFonts w:hint="eastAsia" w:ascii="Times New Roman" w:hAnsi="Times New Roman" w:cs="Times New Roman"/>
          <w:sz w:val="24"/>
        </w:rPr>
        <w:t xml:space="preserve"> 个亚型，第 </w:t>
      </w:r>
      <m:oMath>
        <m:r>
          <m:rPr/>
          <w:rPr>
            <w:rFonts w:hint="default" w:ascii="Cambria Math" w:hAnsi="Cambria Math"/>
            <w:sz w:val="24"/>
          </w:rPr>
          <m:t>c</m:t>
        </m:r>
      </m:oMath>
      <w:r>
        <w:rPr>
          <w:rFonts w:hint="eastAsia" w:ascii="Times New Roman" w:hAnsi="Times New Roman" w:cs="Times New Roman"/>
          <w:sz w:val="24"/>
        </w:rPr>
        <w:t xml:space="preserve"> 个亚型的训练样本数量为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ascii="Times New Roman" w:hAnsi="Times New Roman" w:cs="Times New Roman"/>
          <w:sz w:val="24"/>
        </w:rPr>
        <w:t xml:space="preserve">，训练样本总数为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train</m:t>
            </m:r>
            <m:ctrlPr>
              <w:rPr>
                <w:rFonts w:ascii="Cambria Math" w:hAnsi="Cambria Math"/>
                <w:sz w:val="24"/>
              </w:rPr>
            </m:ctrlPr>
          </m:sub>
        </m:sSub>
      </m:oMath>
      <w:r>
        <w:rPr>
          <w:rFonts w:hint="eastAsia" w:ascii="Times New Roman" w:hAnsi="Times New Roman" w:cs="Times New Roman"/>
          <w:sz w:val="24"/>
        </w:rPr>
        <w:t>，则该亚型的样本比例定义为：</w:t>
      </w:r>
    </w:p>
    <w:p w14:paraId="6463A48D">
      <w:pPr>
        <w:pStyle w:val="12"/>
        <w:keepNext w:val="0"/>
        <w:keepLines w:val="0"/>
        <w:pageBreakBefore w:val="0"/>
        <w:widowControl/>
        <w:suppressLineNumbers w:val="0"/>
        <w:kinsoku/>
        <w:wordWrap w:val="0"/>
        <w:overflowPunct/>
        <w:topLinePunct w:val="0"/>
        <w:autoSpaceDE/>
        <w:autoSpaceDN/>
        <w:bidi w:val="0"/>
        <w:adjustRightInd/>
        <w:snapToGrid/>
        <w:spacing w:before="0" w:beforeAutospacing="0" w:afterAutospacing="0"/>
        <w:ind w:left="0" w:right="0" w:firstLine="0"/>
        <w:jc w:val="right"/>
        <w:textAlignment w:val="auto"/>
        <w:rPr>
          <w:rFonts w:hint="default" w:ascii="Times New Roman" w:hAnsi="Times New Roman" w:eastAsia="Times New Roman" w:cs="Times New Roman"/>
          <w:i w:val="0"/>
          <w:iCs w:val="0"/>
          <w:caps w:val="0"/>
          <w:color w:val="1F0909"/>
          <w:spacing w:val="0"/>
          <w:sz w:val="24"/>
          <w:szCs w:val="24"/>
          <w:lang w:val="en-US"/>
        </w:rPr>
      </w:pPr>
      <m:oMathPara>
        <m:oMathParaPr>
          <m:jc m:val="right"/>
        </m:oMathParaPr>
        <m:oMath>
          <m:sSub>
            <m:sSubPr>
              <m:ctrlPr>
                <w:rPr>
                  <w:rFonts w:hint="default" w:ascii="Cambria Math" w:hAnsi="Cambria Math" w:eastAsia="Times New Roman"/>
                  <w:sz w:val="24"/>
                </w:rPr>
              </m:ctrlPr>
            </m:sSubPr>
            <m:e>
              <m:r>
                <m:rPr/>
                <w:rPr>
                  <w:rFonts w:hint="default" w:ascii="Cambria Math" w:hAnsi="Cambria Math" w:eastAsia="Times New Roman"/>
                  <w:sz w:val="24"/>
                </w:rPr>
                <m:t>p</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r>
            <m:rPr/>
            <w:rPr>
              <w:rFonts w:hint="default" w:ascii="Cambria Math" w:hAnsi="Cambria Math" w:eastAsia="Times New Roman"/>
              <w:sz w:val="24"/>
            </w:rPr>
            <m:t>=</m:t>
          </m:r>
          <m:f>
            <m:fPr>
              <m:ctrlPr>
                <w:rPr>
                  <w:rFonts w:hint="default" w:ascii="Cambria Math" w:hAnsi="Cambria Math" w:eastAsia="Times New Roman"/>
                  <w:i/>
                  <w:sz w:val="24"/>
                </w:rPr>
              </m:ctrlPr>
            </m:fPr>
            <m:num>
              <m:sSub>
                <m:sSubPr>
                  <m:ctrlPr>
                    <w:rPr>
                      <w:rFonts w:hint="default" w:ascii="Cambria Math" w:hAnsi="Cambria Math" w:eastAsia="Times New Roman"/>
                      <w:sz w:val="24"/>
                    </w:rPr>
                  </m:ctrlPr>
                </m:sSubPr>
                <m:e>
                  <m:r>
                    <m:rPr/>
                    <w:rPr>
                      <w:rFonts w:hint="default" w:ascii="Cambria Math" w:hAnsi="Cambria Math" w:eastAsia="Times New Roman"/>
                      <w:sz w:val="24"/>
                    </w:rPr>
                    <m:t>n</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ctrlPr>
                <w:rPr>
                  <w:rFonts w:hint="default" w:ascii="Cambria Math" w:hAnsi="Cambria Math" w:eastAsia="Times New Roman"/>
                  <w:sz w:val="24"/>
                </w:rPr>
              </m:ctrlPr>
            </m:num>
            <m:den>
              <m:sSub>
                <m:sSubPr>
                  <m:ctrlPr>
                    <w:rPr>
                      <w:rFonts w:hint="default" w:ascii="Cambria Math" w:hAnsi="Cambria Math" w:eastAsia="Times New Roman"/>
                      <w:sz w:val="24"/>
                    </w:rPr>
                  </m:ctrlPr>
                </m:sSubPr>
                <m:e>
                  <m:r>
                    <m:rPr/>
                    <w:rPr>
                      <w:rFonts w:hint="default" w:ascii="Cambria Math" w:hAnsi="Cambria Math" w:eastAsia="Times New Roman"/>
                      <w:sz w:val="24"/>
                    </w:rPr>
                    <m:t>N</m:t>
                  </m:r>
                  <m:ctrlPr>
                    <w:rPr>
                      <w:rFonts w:ascii="Cambria Math" w:hAnsi="Cambria Math" w:eastAsia="Times New Roman"/>
                      <w:sz w:val="24"/>
                    </w:rPr>
                  </m:ctrlPr>
                </m:e>
                <m:sub>
                  <m:r>
                    <m:rPr/>
                    <w:rPr>
                      <w:rFonts w:hint="default" w:ascii="Cambria Math" w:hAnsi="Cambria Math" w:eastAsia="Times New Roman"/>
                      <w:sz w:val="24"/>
                    </w:rPr>
                    <m:t>train</m:t>
                  </m:r>
                  <m:ctrlPr>
                    <w:rPr>
                      <w:rFonts w:ascii="Cambria Math" w:hAnsi="Cambria Math" w:eastAsia="Times New Roman"/>
                      <w:sz w:val="24"/>
                    </w:rPr>
                  </m:ctrlPr>
                </m:sub>
              </m:sSub>
              <m:ctrlPr>
                <w:rPr>
                  <w:rFonts w:hint="default" w:ascii="Cambria Math" w:hAnsi="Cambria Math" w:eastAsia="Times New Roman"/>
                  <w:sz w:val="24"/>
                </w:rPr>
              </m:ctrlPr>
            </m:den>
          </m:f>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m:t>
          </m:r>
          <m:r>
            <m:rPr>
              <m:nor/>
              <m:sty m:val="p"/>
            </m:rPr>
            <w:rPr>
              <w:rFonts w:hint="eastAsia" w:eastAsia="宋体" w:cs="Times New Roman"/>
              <w:b w:val="0"/>
              <w:i w:val="0"/>
              <w:sz w:val="24"/>
              <w:lang w:val="en-US" w:eastAsia="zh-CN"/>
            </w:rPr>
            <m:t>2</m:t>
          </m:r>
          <m:r>
            <m:rPr>
              <m:nor/>
              <m:sty m:val="p"/>
            </m:rPr>
            <w:rPr>
              <w:rFonts w:hint="default" w:ascii="Times New Roman" w:hAnsi="Times New Roman" w:eastAsia="宋体" w:cs="Times New Roman"/>
              <w:b w:val="0"/>
              <w:i w:val="0"/>
              <w:sz w:val="24"/>
              <w:lang w:val="en-US" w:eastAsia="zh-CN"/>
            </w:rPr>
            <m:t>)</m:t>
          </m:r>
        </m:oMath>
      </m:oMathPara>
    </w:p>
    <w:p w14:paraId="5EF12CC5">
      <w:pPr>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根据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ascii="Times New Roman" w:hAnsi="Times New Roman" w:cs="Times New Roman"/>
          <w:sz w:val="24"/>
        </w:rPr>
        <w:t xml:space="preserve"> 与预设阈值 </w:t>
      </w:r>
      <m:oMath>
        <m:sSub>
          <m:sSubPr>
            <m:ctrlPr>
              <w:rPr>
                <w:rFonts w:hint="default" w:ascii="Cambria Math" w:hAnsi="Cambria Math"/>
                <w:sz w:val="24"/>
              </w:rPr>
            </m:ctrlPr>
          </m:sSubPr>
          <m:e>
            <m:r>
              <m:rPr/>
              <w:rPr>
                <w:rFonts w:hint="default" w:ascii="Cambria Math" w:hAnsi="Cambria Math"/>
                <w:sz w:val="24"/>
              </w:rPr>
              <m:t>η</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η</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ascii="Times New Roman" w:hAnsi="Times New Roman" w:cs="Times New Roman"/>
          <w:sz w:val="24"/>
        </w:rPr>
        <w:t xml:space="preserve"> 的关系，将亚型 </w:t>
      </w:r>
      <m:oMath>
        <m:r>
          <m:rPr/>
          <w:rPr>
            <w:rFonts w:hint="default" w:ascii="Cambria Math" w:hAnsi="Cambria Math"/>
            <w:sz w:val="24"/>
          </w:rPr>
          <m:t>c</m:t>
        </m:r>
      </m:oMath>
      <w:r>
        <w:rPr>
          <w:rFonts w:hint="eastAsia" w:ascii="Times New Roman" w:hAnsi="Times New Roman" w:cs="Times New Roman"/>
          <w:sz w:val="24"/>
        </w:rPr>
        <w:t xml:space="preserve"> 划分为不同类别。当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η</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eastAsia" w:ascii="Times New Roman" w:hAnsi="Times New Roman" w:cs="Times New Roman"/>
          <w:sz w:val="24"/>
        </w:rPr>
        <w:t xml:space="preserve"> 时，将其划分为少数类；当 </w:t>
      </w:r>
      <m:oMath>
        <m:sSub>
          <m:sSubPr>
            <m:ctrlPr>
              <w:rPr>
                <w:rFonts w:hint="default" w:ascii="Cambria Math" w:hAnsi="Cambria Math"/>
                <w:sz w:val="24"/>
              </w:rPr>
            </m:ctrlPr>
          </m:sSubPr>
          <m:e>
            <m:r>
              <m:rPr/>
              <w:rPr>
                <w:rFonts w:hint="default" w:ascii="Cambria Math" w:hAnsi="Cambria Math"/>
                <w:sz w:val="24"/>
              </w:rPr>
              <m:t>η</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&lt;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&lt;</m:t>
        </m:r>
        <m:sSub>
          <m:sSubPr>
            <m:ctrlPr>
              <w:rPr>
                <w:rFonts w:hint="default" w:ascii="Cambria Math" w:hAnsi="Cambria Math"/>
                <w:sz w:val="24"/>
              </w:rPr>
            </m:ctrlPr>
          </m:sSubPr>
          <m:e>
            <m:r>
              <m:rPr/>
              <w:rPr>
                <w:rFonts w:hint="default" w:ascii="Cambria Math" w:hAnsi="Cambria Math"/>
                <w:sz w:val="24"/>
              </w:rPr>
              <m:t>η</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ascii="Times New Roman" w:hAnsi="Times New Roman" w:cs="Times New Roman"/>
          <w:sz w:val="24"/>
        </w:rPr>
        <w:t xml:space="preserve"> 时，将其划分为中间类；当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η</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ascii="Times New Roman" w:hAnsi="Times New Roman" w:cs="Times New Roman"/>
          <w:sz w:val="24"/>
        </w:rPr>
        <w:t xml:space="preserve"> 时，将其划分为多数类。与传统少数类和多数类二分方式相比，该策略显式保留中等规模类别，为后续图增强提供更细粒度的类别指导。</w:t>
      </w:r>
    </w:p>
    <w:p w14:paraId="34BA5F66">
      <w:pPr>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进一步地，TRIGEL 使用有效样本数刻画不同类别样本数量增加时的边际收益变化。亚型 </w:t>
      </w:r>
      <m:oMath>
        <m:r>
          <m:rPr/>
          <w:rPr>
            <w:rFonts w:hint="default" w:ascii="Cambria Math" w:hAnsi="Cambria Math"/>
            <w:sz w:val="24"/>
          </w:rPr>
          <m:t>c</m:t>
        </m:r>
      </m:oMath>
      <w:r>
        <w:rPr>
          <w:rFonts w:hint="eastAsia" w:ascii="Times New Roman" w:hAnsi="Times New Roman" w:cs="Times New Roman"/>
          <w:sz w:val="24"/>
        </w:rPr>
        <w:t xml:space="preserve"> 的有效样本数定义为：</w:t>
      </w:r>
    </w:p>
    <w:p w14:paraId="545D6C1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right="0" w:firstLine="0"/>
        <w:textAlignment w:val="auto"/>
        <w:rPr>
          <w:rFonts w:hint="default" w:ascii="Times New Roman" w:hAnsi="Times New Roman" w:eastAsia="Times New Roman" w:cs="Times New Roman"/>
          <w:i w:val="0"/>
          <w:iCs w:val="0"/>
          <w:caps w:val="0"/>
          <w:color w:val="1F0909"/>
          <w:spacing w:val="0"/>
          <w:sz w:val="24"/>
          <w:szCs w:val="24"/>
        </w:rPr>
      </w:pPr>
      <m:oMathPara>
        <m:oMathParaPr>
          <m:jc m:val="right"/>
        </m:oMathParaPr>
        <m:oMath>
          <m:sSub>
            <m:sSubPr>
              <m:ctrlPr>
                <w:rPr>
                  <w:rFonts w:hint="default" w:ascii="Cambria Math" w:hAnsi="Cambria Math" w:eastAsia="Times New Roman"/>
                  <w:sz w:val="24"/>
                </w:rPr>
              </m:ctrlPr>
            </m:sSubPr>
            <m:e>
              <m:r>
                <m:rPr/>
                <w:rPr>
                  <w:rFonts w:hint="default" w:ascii="Cambria Math" w:hAnsi="Cambria Math" w:eastAsia="Times New Roman"/>
                  <w:sz w:val="24"/>
                </w:rPr>
                <m:t>E</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r>
            <m:rPr/>
            <w:rPr>
              <w:rFonts w:hint="default" w:ascii="Cambria Math" w:hAnsi="Cambria Math" w:eastAsia="Times New Roman"/>
              <w:sz w:val="24"/>
            </w:rPr>
            <m:t>=</m:t>
          </m:r>
          <m:f>
            <m:fPr>
              <m:ctrlPr>
                <w:rPr>
                  <w:rFonts w:hint="default" w:ascii="Cambria Math" w:hAnsi="Cambria Math" w:eastAsia="Times New Roman"/>
                  <w:i/>
                  <w:sz w:val="24"/>
                </w:rPr>
              </m:ctrlPr>
            </m:fPr>
            <m:num>
              <m:r>
                <m:rPr/>
                <w:rPr>
                  <w:rFonts w:hint="default" w:ascii="Cambria Math" w:hAnsi="Cambria Math" w:eastAsia="Times New Roman"/>
                  <w:sz w:val="24"/>
                </w:rPr>
                <m:t>1−</m:t>
              </m:r>
              <m:sSup>
                <m:sSupPr>
                  <m:ctrlPr>
                    <w:rPr>
                      <w:rFonts w:hint="default" w:ascii="Cambria Math" w:hAnsi="Cambria Math" w:eastAsia="Times New Roman"/>
                      <w:sz w:val="24"/>
                    </w:rPr>
                  </m:ctrlPr>
                </m:sSupPr>
                <m:e>
                  <m:r>
                    <m:rPr/>
                    <w:rPr>
                      <w:rFonts w:hint="default" w:ascii="Cambria Math" w:hAnsi="Cambria Math" w:eastAsia="Times New Roman"/>
                      <w:sz w:val="24"/>
                    </w:rPr>
                    <m:t>β</m:t>
                  </m:r>
                  <m:ctrlPr>
                    <w:rPr>
                      <w:rFonts w:ascii="Cambria Math" w:hAnsi="Cambria Math" w:eastAsia="Times New Roman"/>
                      <w:sz w:val="24"/>
                    </w:rPr>
                  </m:ctrlPr>
                </m:e>
                <m:sup>
                  <m:sSub>
                    <m:sSubPr>
                      <m:ctrlPr>
                        <w:rPr>
                          <w:rFonts w:hint="default" w:ascii="Cambria Math" w:hAnsi="Cambria Math" w:eastAsia="Times New Roman"/>
                          <w:sz w:val="24"/>
                        </w:rPr>
                      </m:ctrlPr>
                    </m:sSubPr>
                    <m:e>
                      <m:r>
                        <m:rPr/>
                        <w:rPr>
                          <w:rFonts w:hint="default" w:ascii="Cambria Math" w:hAnsi="Cambria Math" w:eastAsia="Times New Roman"/>
                          <w:sz w:val="24"/>
                        </w:rPr>
                        <m:t>n</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ctrlPr>
                    <w:rPr>
                      <w:rFonts w:hint="default" w:ascii="Cambria Math" w:hAnsi="Cambria Math" w:eastAsia="Times New Roman"/>
                      <w:sz w:val="24"/>
                    </w:rPr>
                  </m:ctrlPr>
                </m:sup>
              </m:sSup>
              <m:ctrlPr>
                <w:rPr>
                  <w:rFonts w:hint="default" w:ascii="Cambria Math" w:hAnsi="Cambria Math" w:eastAsia="Times New Roman"/>
                  <w:sz w:val="24"/>
                </w:rPr>
              </m:ctrlPr>
            </m:num>
            <m:den>
              <m:r>
                <m:rPr/>
                <w:rPr>
                  <w:rFonts w:hint="default" w:ascii="Cambria Math" w:hAnsi="Cambria Math" w:eastAsia="Times New Roman"/>
                  <w:sz w:val="24"/>
                </w:rPr>
                <m:t>1−β</m:t>
              </m:r>
              <m:ctrlPr>
                <w:rPr>
                  <w:rFonts w:hint="default" w:ascii="Cambria Math" w:hAnsi="Cambria Math" w:eastAsia="Times New Roman"/>
                  <w:sz w:val="24"/>
                </w:rPr>
              </m:ctrlPr>
            </m:den>
          </m:f>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m:t>
          </m:r>
          <m:r>
            <m:rPr>
              <m:nor/>
              <m:sty m:val="p"/>
            </m:rPr>
            <w:rPr>
              <w:rFonts w:hint="eastAsia" w:eastAsia="宋体" w:cs="Times New Roman"/>
              <w:b w:val="0"/>
              <w:i w:val="0"/>
              <w:sz w:val="24"/>
              <w:lang w:val="en-US" w:eastAsia="zh-CN"/>
            </w:rPr>
            <m:t>3</m:t>
          </m:r>
          <m:r>
            <m:rPr>
              <m:nor/>
              <m:sty m:val="p"/>
            </m:rPr>
            <w:rPr>
              <w:rFonts w:hint="default" w:ascii="Times New Roman" w:hAnsi="Times New Roman" w:eastAsia="宋体" w:cs="Times New Roman"/>
              <w:b w:val="0"/>
              <w:i w:val="0"/>
              <w:sz w:val="24"/>
              <w:lang w:val="en-US" w:eastAsia="zh-CN"/>
            </w:rPr>
            <m:t>)</m:t>
          </m:r>
        </m:oMath>
      </m:oMathPara>
    </w:p>
    <w:p w14:paraId="50EFDCFC">
      <w:pPr>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其中，</w:t>
      </w:r>
      <m:oMath>
        <m:r>
          <m:rPr/>
          <w:rPr>
            <w:rFonts w:hint="default" w:ascii="Cambria Math" w:hAnsi="Cambria Math"/>
            <w:sz w:val="24"/>
          </w:rPr>
          <m:t>β∈[0,1)</m:t>
        </m:r>
      </m:oMath>
      <w:r>
        <w:rPr>
          <w:rFonts w:hint="eastAsia" w:ascii="Times New Roman" w:hAnsi="Times New Roman" w:cs="Times New Roman"/>
          <w:sz w:val="24"/>
        </w:rPr>
        <w:t xml:space="preserve"> 控制样本数量增加时的边际收益。当 </w:t>
      </w:r>
      <m:oMath>
        <m:r>
          <m:rPr/>
          <w:rPr>
            <w:rFonts w:hint="default" w:ascii="Cambria Math" w:hAnsi="Cambria Math"/>
            <w:sz w:val="24"/>
          </w:rPr>
          <m:t>β=0</m:t>
        </m:r>
      </m:oMath>
      <w:r>
        <w:rPr>
          <w:rFonts w:hint="eastAsia" w:ascii="Times New Roman" w:hAnsi="Times New Roman" w:cs="Times New Roman"/>
          <w:sz w:val="24"/>
        </w:rPr>
        <w:t xml:space="preserve"> 时，所有亚型的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r>
          <m:rPr/>
          <w:rPr>
            <w:rFonts w:hint="default" w:ascii="Cambria Math" w:hAnsi="Cambria Math"/>
            <w:sz w:val="24"/>
          </w:rPr>
          <m:t>=1</m:t>
        </m:r>
      </m:oMath>
      <w:r>
        <w:rPr>
          <w:rFonts w:hint="eastAsia" w:ascii="Times New Roman" w:hAnsi="Times New Roman" w:cs="Times New Roman"/>
          <w:sz w:val="24"/>
        </w:rPr>
        <w:t xml:space="preserve">；当 </w:t>
      </w:r>
      <m:oMath>
        <m:r>
          <m:rPr/>
          <w:rPr>
            <w:rFonts w:hint="default" w:ascii="Cambria Math" w:hAnsi="Cambria Math"/>
            <w:sz w:val="24"/>
          </w:rPr>
          <m:t>β</m:t>
        </m:r>
      </m:oMath>
      <w:r>
        <w:rPr>
          <w:rFonts w:hint="eastAsia" w:ascii="Times New Roman" w:hAnsi="Times New Roman" w:cs="Times New Roman"/>
          <w:sz w:val="24"/>
        </w:rPr>
        <w:t xml:space="preserve"> 越接近 1 时，</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ascii="Times New Roman" w:hAnsi="Times New Roman" w:cs="Times New Roman"/>
          <w:sz w:val="24"/>
        </w:rPr>
        <w:t xml:space="preserve"> 越接近真实样本数量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eastAsia" w:ascii="Times New Roman" w:hAnsi="Times New Roman" w:cs="Times New Roman"/>
          <w:sz w:val="24"/>
        </w:rPr>
        <w:t>。在有效样本数的基础上，TRIGEL 将三分类分层结果进一步引入亚型权重计算：</w:t>
      </w:r>
    </w:p>
    <w:p w14:paraId="332F9A5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right="0" w:firstLine="0"/>
        <w:textAlignment w:val="auto"/>
        <w:rPr>
          <w:rFonts w:hint="default" w:ascii="Times New Roman" w:hAnsi="Times New Roman" w:eastAsia="Times New Roman" w:cs="Times New Roman"/>
          <w:i w:val="0"/>
          <w:iCs w:val="0"/>
          <w:caps w:val="0"/>
          <w:color w:val="1F0909"/>
          <w:spacing w:val="0"/>
          <w:sz w:val="24"/>
          <w:szCs w:val="24"/>
        </w:rPr>
      </w:pPr>
      <m:oMathPara>
        <m:oMathParaPr>
          <m:jc m:val="right"/>
        </m:oMathParaPr>
        <m:oMath>
          <m:sSub>
            <m:sSubPr>
              <m:ctrlPr>
                <w:rPr>
                  <w:rFonts w:hint="default" w:ascii="Cambria Math" w:hAnsi="Cambria Math" w:eastAsia="Times New Roman"/>
                  <w:sz w:val="24"/>
                </w:rPr>
              </m:ctrlPr>
            </m:sSubPr>
            <m:e>
              <m:r>
                <m:rPr/>
                <w:rPr>
                  <w:rFonts w:hint="default" w:ascii="Cambria Math" w:hAnsi="Cambria Math" w:eastAsia="Times New Roman"/>
                  <w:sz w:val="24"/>
                </w:rPr>
                <m:t>w</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r>
            <m:rPr/>
            <w:rPr>
              <w:rFonts w:hint="default" w:ascii="Cambria Math" w:hAnsi="Cambria Math" w:eastAsia="Times New Roman"/>
              <w:sz w:val="24"/>
            </w:rPr>
            <m:t>=</m:t>
          </m:r>
          <m:f>
            <m:fPr>
              <m:ctrlPr>
                <w:rPr>
                  <w:rFonts w:hint="default" w:ascii="Cambria Math" w:hAnsi="Cambria Math" w:eastAsia="Times New Roman"/>
                  <w:i/>
                  <w:sz w:val="24"/>
                </w:rPr>
              </m:ctrlPr>
            </m:fPr>
            <m:num>
              <m:sSub>
                <m:sSubPr>
                  <m:ctrlPr>
                    <w:rPr>
                      <w:rFonts w:hint="default" w:ascii="Cambria Math" w:hAnsi="Cambria Math" w:eastAsia="Times New Roman"/>
                      <w:sz w:val="24"/>
                    </w:rPr>
                  </m:ctrlPr>
                </m:sSubPr>
                <m:e>
                  <m:r>
                    <m:rPr/>
                    <w:rPr>
                      <w:rFonts w:hint="default" w:ascii="Cambria Math" w:hAnsi="Cambria Math" w:eastAsia="Times New Roman"/>
                      <w:sz w:val="24"/>
                    </w:rPr>
                    <m:t>τ</m:t>
                  </m:r>
                  <m:ctrlPr>
                    <w:rPr>
                      <w:rFonts w:ascii="Cambria Math" w:hAnsi="Cambria Math" w:eastAsia="Times New Roman"/>
                      <w:sz w:val="24"/>
                    </w:rPr>
                  </m:ctrlPr>
                </m:e>
                <m:sub>
                  <m:r>
                    <m:rPr/>
                    <w:rPr>
                      <w:rFonts w:hint="default" w:ascii="Cambria Math" w:hAnsi="Cambria Math" w:eastAsia="Times New Roman"/>
                      <w:sz w:val="24"/>
                    </w:rPr>
                    <m:t>t(c)</m:t>
                  </m:r>
                  <m:ctrlPr>
                    <w:rPr>
                      <w:rFonts w:ascii="Cambria Math" w:hAnsi="Cambria Math" w:eastAsia="Times New Roman"/>
                      <w:sz w:val="24"/>
                    </w:rPr>
                  </m:ctrlPr>
                </m:sub>
              </m:sSub>
              <m:ctrlPr>
                <w:rPr>
                  <w:rFonts w:hint="default" w:ascii="Cambria Math" w:hAnsi="Cambria Math" w:eastAsia="Times New Roman"/>
                  <w:sz w:val="24"/>
                </w:rPr>
              </m:ctrlPr>
            </m:num>
            <m:den>
              <m:sSub>
                <m:sSubPr>
                  <m:ctrlPr>
                    <w:rPr>
                      <w:rFonts w:hint="default" w:ascii="Cambria Math" w:hAnsi="Cambria Math" w:eastAsia="Times New Roman"/>
                      <w:sz w:val="24"/>
                    </w:rPr>
                  </m:ctrlPr>
                </m:sSubPr>
                <m:e>
                  <m:r>
                    <m:rPr/>
                    <w:rPr>
                      <w:rFonts w:hint="default" w:ascii="Cambria Math" w:hAnsi="Cambria Math" w:eastAsia="Times New Roman"/>
                      <w:sz w:val="24"/>
                    </w:rPr>
                    <m:t>E</m:t>
                  </m:r>
                  <m:ctrlPr>
                    <w:rPr>
                      <w:rFonts w:ascii="Cambria Math" w:hAnsi="Cambria Math" w:eastAsia="Times New Roman"/>
                      <w:sz w:val="24"/>
                    </w:rPr>
                  </m:ctrlPr>
                </m:e>
                <m:sub>
                  <m:r>
                    <m:rPr/>
                    <w:rPr>
                      <w:rFonts w:hint="default" w:ascii="Cambria Math" w:hAnsi="Cambria Math" w:eastAsia="Times New Roman"/>
                      <w:sz w:val="24"/>
                    </w:rPr>
                    <m:t>c</m:t>
                  </m:r>
                  <m:ctrlPr>
                    <w:rPr>
                      <w:rFonts w:ascii="Cambria Math" w:hAnsi="Cambria Math" w:eastAsia="Times New Roman"/>
                      <w:sz w:val="24"/>
                    </w:rPr>
                  </m:ctrlPr>
                </m:sub>
              </m:sSub>
              <m:r>
                <m:rPr/>
                <w:rPr>
                  <w:rFonts w:hint="default" w:ascii="Cambria Math" w:hAnsi="Cambria Math" w:eastAsia="Times New Roman"/>
                  <w:sz w:val="24"/>
                </w:rPr>
                <m:t>⋅</m:t>
              </m:r>
              <m:acc>
                <m:accPr>
                  <m:chr m:val="̄"/>
                  <m:ctrlPr>
                    <w:rPr>
                      <w:rFonts w:hint="default" w:ascii="Cambria Math" w:hAnsi="Cambria Math" w:eastAsia="Times New Roman"/>
                      <w:sz w:val="24"/>
                    </w:rPr>
                  </m:ctrlPr>
                </m:accPr>
                <m:e>
                  <m:r>
                    <m:rPr/>
                    <w:rPr>
                      <w:rFonts w:hint="default" w:ascii="Cambria Math" w:hAnsi="Cambria Math" w:eastAsia="Times New Roman"/>
                      <w:sz w:val="24"/>
                    </w:rPr>
                    <m:t>w</m:t>
                  </m:r>
                  <m:ctrlPr>
                    <w:rPr>
                      <w:rFonts w:ascii="Cambria Math" w:hAnsi="Cambria Math" w:eastAsia="Times New Roman"/>
                      <w:sz w:val="24"/>
                    </w:rPr>
                  </m:ctrlPr>
                </m:e>
              </m:acc>
              <m:ctrlPr>
                <w:rPr>
                  <w:rFonts w:hint="default" w:ascii="Cambria Math" w:hAnsi="Cambria Math" w:eastAsia="Times New Roman"/>
                  <w:sz w:val="24"/>
                </w:rPr>
              </m:ctrlPr>
            </m:den>
          </m:f>
          <m:r>
            <m:rPr>
              <m:sty m:val="p"/>
            </m:rPr>
            <w:rPr>
              <w:rFonts w:hint="default" w:ascii="Cambria Math" w:hAnsi="Cambria Math"/>
            </w:rPr>
            <m:t xml:space="preserve">                                     </m:t>
          </m:r>
          <m:r>
            <m:rPr>
              <m:sty m:val="p"/>
            </m:rPr>
            <w:rPr>
              <w:rFonts w:hint="default" w:ascii="Cambria Math" w:hAnsi="Cambria Math" w:eastAsia="宋体"/>
              <w:lang w:val="en-US" w:eastAsia="zh-CN"/>
            </w:rPr>
            <m:t xml:space="preserve">         </m:t>
          </m:r>
          <m:r>
            <m:rPr>
              <m:sty m:val="p"/>
            </m:rPr>
            <w:rPr>
              <w:rFonts w:hint="default" w:ascii="Cambria Math" w:hAnsi="Cambria Math"/>
            </w:rPr>
            <m:t xml:space="preserve">    </m:t>
          </m:r>
          <m:r>
            <m:rPr>
              <m:sty m:val="p"/>
            </m:rPr>
            <w:rPr>
              <w:rFonts w:hint="default" w:ascii="Cambria Math" w:hAnsi="Cambria Math" w:eastAsia="宋体"/>
              <w:lang w:val="en-US" w:eastAsia="zh-CN"/>
            </w:rPr>
            <m:t xml:space="preserve">  </m:t>
          </m:r>
          <m:r>
            <m:rPr>
              <m:sty m:val="p"/>
            </m:rPr>
            <w:rPr>
              <w:rFonts w:hint="default" w:ascii="Cambria Math" w:hAnsi="Cambria Math"/>
            </w:rPr>
            <m:t xml:space="preserve">    </m:t>
          </m:r>
          <m:r>
            <m:rPr>
              <m:sty m:val="p"/>
            </m:rPr>
            <w:rPr>
              <w:rFonts w:hint="default" w:ascii="Cambria Math" w:hAnsi="Cambria Math" w:eastAsia="宋体"/>
              <w:lang w:val="en-US" w:eastAsia="zh-CN"/>
            </w:rPr>
            <m:t xml:space="preserve">  </m:t>
          </m:r>
          <m:r>
            <m:rPr>
              <m:sty m:val="p"/>
            </m:rPr>
            <w:rPr>
              <w:rFonts w:hint="default" w:ascii="Cambria Math" w:hAnsi="Cambria Math"/>
            </w:rPr>
            <m:t xml:space="preserve">         </m:t>
          </m:r>
          <m:r>
            <m:rPr>
              <m:sty m:val="p"/>
            </m:rPr>
            <w:rPr>
              <w:rFonts w:hint="default" w:ascii="Cambria Math" w:hAnsi="Cambria Math" w:eastAsia="宋体"/>
              <w:lang w:val="en-US" w:eastAsia="zh-CN"/>
            </w:rPr>
            <m:t xml:space="preserve">    </m:t>
          </m:r>
          <m:r>
            <m:rPr>
              <m:sty m:val="p"/>
            </m:rPr>
            <w:rPr>
              <w:rFonts w:hint="default" w:ascii="Cambria Math" w:hAnsi="Cambria Math"/>
            </w:rPr>
            <m:t xml:space="preserve">    </m:t>
          </m:r>
          <m:r>
            <m:rPr>
              <m:nor/>
              <m:sty m:val="p"/>
            </m:rPr>
            <w:rPr>
              <w:rFonts w:hint="default" w:ascii="Times New Roman" w:hAnsi="Times New Roman" w:cs="Times New Roman"/>
              <w:b w:val="0"/>
              <w:i w:val="0"/>
            </w:rPr>
            <m:t>(</m:t>
          </m:r>
          <m:r>
            <m:rPr>
              <m:nor/>
              <m:sty m:val="p"/>
            </m:rPr>
            <w:rPr>
              <w:rFonts w:hint="eastAsia" w:eastAsia="宋体" w:cs="Times New Roman"/>
              <w:b w:val="0"/>
              <w:i w:val="0"/>
              <w:lang w:val="en-US" w:eastAsia="zh-CN"/>
            </w:rPr>
            <m:t>4</m:t>
          </m:r>
          <m:r>
            <m:rPr>
              <m:nor/>
              <m:sty m:val="p"/>
            </m:rPr>
            <w:rPr>
              <w:rFonts w:hint="default" w:ascii="Times New Roman" w:hAnsi="Times New Roman" w:cs="Times New Roman"/>
              <w:b w:val="0"/>
              <w:i w:val="0"/>
            </w:rPr>
            <m:t>)</m:t>
          </m:r>
        </m:oMath>
      </m:oMathPara>
    </w:p>
    <w:p w14:paraId="1C78F9A4">
      <w:pPr>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其中，</w:t>
      </w:r>
      <m:oMath>
        <m:r>
          <m:rPr/>
          <w:rPr>
            <w:rFonts w:hint="default" w:ascii="Cambria Math" w:hAnsi="Cambria Math" w:eastAsia="Times New Roman"/>
            <w:sz w:val="24"/>
          </w:rPr>
          <m:t>t(c)∈{</m:t>
        </m:r>
        <m:r>
          <m:rPr>
            <m:sty m:val="p"/>
          </m:rPr>
          <w:rPr>
            <w:rFonts w:hint="default" w:ascii="Cambria Math" w:hAnsi="Cambria Math" w:eastAsia="Times New Roman"/>
            <w:sz w:val="24"/>
          </w:rPr>
          <m:t>minority</m:t>
        </m:r>
        <m:r>
          <m:rPr/>
          <w:rPr>
            <w:rFonts w:hint="default" w:ascii="Cambria Math" w:hAnsi="Cambria Math" w:eastAsia="Times New Roman"/>
            <w:sz w:val="24"/>
          </w:rPr>
          <m:t>,</m:t>
        </m:r>
        <m:r>
          <m:rPr>
            <m:sty m:val="p"/>
          </m:rPr>
          <w:rPr>
            <w:rFonts w:hint="default" w:ascii="Cambria Math" w:hAnsi="Cambria Math" w:eastAsia="Times New Roman"/>
            <w:sz w:val="24"/>
          </w:rPr>
          <m:t>intermediate</m:t>
        </m:r>
        <m:r>
          <m:rPr/>
          <w:rPr>
            <w:rFonts w:hint="default" w:ascii="Cambria Math" w:hAnsi="Cambria Math" w:eastAsia="Times New Roman"/>
            <w:sz w:val="24"/>
          </w:rPr>
          <m:t>,</m:t>
        </m:r>
        <m:r>
          <m:rPr>
            <m:sty m:val="p"/>
          </m:rPr>
          <w:rPr>
            <w:rFonts w:hint="default" w:ascii="Cambria Math" w:hAnsi="Cambria Math" w:eastAsia="Times New Roman"/>
            <w:sz w:val="24"/>
          </w:rPr>
          <m:t>majority</m:t>
        </m:r>
        <m:r>
          <m:rPr/>
          <w:rPr>
            <w:rFonts w:hint="default" w:ascii="Cambria Math" w:hAnsi="Cambria Math" w:eastAsia="Times New Roman"/>
            <w:sz w:val="24"/>
          </w:rPr>
          <m:t>}</m:t>
        </m:r>
      </m:oMath>
      <w:r>
        <w:rPr>
          <w:rFonts w:hint="eastAsia" w:ascii="Times New Roman" w:hAnsi="Times New Roman" w:cs="Times New Roman"/>
          <w:sz w:val="24"/>
        </w:rPr>
        <w:t xml:space="preserve"> 表示亚型 </w:t>
      </w:r>
      <m:oMath>
        <m:r>
          <m:rPr/>
          <w:rPr>
            <w:rFonts w:hint="default" w:ascii="Cambria Math" w:hAnsi="Cambria Math" w:eastAsia="Times New Roman"/>
            <w:sz w:val="24"/>
          </w:rPr>
          <m:t>c</m:t>
        </m:r>
      </m:oMath>
      <w:r>
        <w:rPr>
          <w:rFonts w:hint="eastAsia" w:ascii="Times New Roman" w:hAnsi="Times New Roman" w:cs="Times New Roman"/>
          <w:sz w:val="24"/>
        </w:rPr>
        <w:t xml:space="preserve"> 的分层结果，</w:t>
      </w:r>
      <m:oMath>
        <m:sSub>
          <m:sSubPr>
            <m:ctrlPr>
              <w:rPr>
                <w:rFonts w:hint="default" w:ascii="Cambria Math" w:hAnsi="Cambria Math" w:eastAsia="Times New Roman"/>
                <w:sz w:val="24"/>
              </w:rPr>
            </m:ctrlPr>
          </m:sSubPr>
          <m:e>
            <m:r>
              <m:rPr/>
              <w:rPr>
                <w:rFonts w:hint="default" w:ascii="Cambria Math" w:hAnsi="Cambria Math" w:eastAsia="Times New Roman"/>
                <w:sz w:val="24"/>
              </w:rPr>
              <m:t>τ</m:t>
            </m:r>
            <m:ctrlPr>
              <w:rPr>
                <w:rFonts w:ascii="Cambria Math" w:hAnsi="Cambria Math" w:eastAsia="Times New Roman"/>
                <w:sz w:val="24"/>
              </w:rPr>
            </m:ctrlPr>
          </m:e>
          <m:sub>
            <m:r>
              <m:rPr/>
              <w:rPr>
                <w:rFonts w:hint="default" w:ascii="Cambria Math" w:hAnsi="Cambria Math" w:eastAsia="Times New Roman"/>
                <w:sz w:val="24"/>
              </w:rPr>
              <m:t>t(c)</m:t>
            </m:r>
            <m:ctrlPr>
              <w:rPr>
                <w:rFonts w:ascii="Cambria Math" w:hAnsi="Cambria Math" w:eastAsia="Times New Roman"/>
                <w:sz w:val="24"/>
              </w:rPr>
            </m:ctrlPr>
          </m:sub>
        </m:sSub>
      </m:oMath>
      <w:r>
        <w:rPr>
          <w:rFonts w:hint="eastAsia" w:ascii="Times New Roman" w:hAnsi="Times New Roman" w:cs="Times New Roman"/>
          <w:sz w:val="24"/>
        </w:rPr>
        <w:t xml:space="preserve"> 表示对应分层的组特异权重系数。归一化因子 </w:t>
      </w:r>
      <m:oMath>
        <m:acc>
          <m:accPr>
            <m:chr m:val="̄"/>
            <m:ctrlPr>
              <w:rPr>
                <w:rFonts w:hint="default" w:ascii="Cambria Math" w:hAnsi="Cambria Math" w:eastAsia="宋体"/>
                <w:sz w:val="24"/>
              </w:rPr>
            </m:ctrlPr>
          </m:accPr>
          <m:e>
            <m:r>
              <m:rPr/>
              <w:rPr>
                <w:rFonts w:hint="default" w:ascii="Cambria Math" w:hAnsi="Cambria Math" w:eastAsia="宋体"/>
                <w:sz w:val="24"/>
              </w:rPr>
              <m:t>w</m:t>
            </m:r>
            <m:ctrlPr>
              <w:rPr>
                <w:rFonts w:ascii="Cambria Math" w:hAnsi="Cambria Math" w:eastAsia="宋体"/>
                <w:sz w:val="24"/>
              </w:rPr>
            </m:ctrlPr>
          </m:e>
        </m:acc>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C</m:t>
            </m:r>
            <m:ctrlPr>
              <w:rPr>
                <w:rFonts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j=1</m:t>
            </m:r>
            <m:ctrlPr>
              <w:rPr>
                <w:rFonts w:ascii="Cambria Math" w:hAnsi="Cambria Math" w:eastAsia="宋体"/>
                <w:sz w:val="24"/>
              </w:rPr>
            </m:ctrlPr>
          </m:sub>
          <m:sup>
            <m:r>
              <m:rPr/>
              <w:rPr>
                <w:rFonts w:hint="default" w:ascii="Cambria Math" w:hAnsi="Cambria Math" w:eastAsia="宋体"/>
                <w:sz w:val="24"/>
              </w:rPr>
              <m:t>C</m:t>
            </m:r>
            <m:ctrlPr>
              <w:rPr>
                <w:rFonts w:ascii="Cambria Math" w:hAnsi="Cambria Math" w:eastAsia="宋体"/>
                <w:sz w:val="24"/>
              </w:rPr>
            </m:ctrlPr>
          </m:sup>
          <m:e>
            <m:f>
              <m:fPr>
                <m:ctrlPr>
                  <w:rPr>
                    <w:rFonts w:hint="default" w:ascii="Cambria Math" w:hAnsi="Cambria Math" w:eastAsia="宋体"/>
                    <w:sz w:val="24"/>
                  </w:rPr>
                </m:ctrlPr>
              </m:fPr>
              <m:num>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t(j)</m:t>
                    </m:r>
                    <m:ctrlPr>
                      <w:rPr>
                        <w:rFonts w:ascii="Cambria Math" w:hAnsi="Cambria Math" w:eastAsia="宋体"/>
                        <w:sz w:val="24"/>
                      </w:rPr>
                    </m:ctrlPr>
                  </m:sub>
                </m:sSub>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den>
            </m:f>
            <m:ctrlPr>
              <w:rPr>
                <w:rFonts w:hint="default" w:ascii="Cambria Math" w:hAnsi="Cambria Math" w:eastAsia="宋体"/>
                <w:sz w:val="24"/>
              </w:rPr>
            </m:ctrlPr>
          </m:e>
        </m:nary>
      </m:oMath>
      <w:r>
        <w:rPr>
          <w:rFonts w:hint="eastAsia" w:ascii="Times New Roman" w:hAnsi="Times New Roman" w:cs="Times New Roman"/>
          <w:sz w:val="24"/>
        </w:rPr>
        <w:t xml:space="preserve"> 用于保证所有亚型权重的均值为 1。该权重同时结合了有效样本数捕获的连续频率信息和 TGS 得到的离散分层信息，后续用于类别平衡分类损失。</w:t>
      </w:r>
    </w:p>
    <w:p w14:paraId="613E3F17">
      <w:pPr>
        <w:keepNext/>
        <w:keepLines/>
        <w:spacing w:before="120" w:after="120" w:line="300" w:lineRule="auto"/>
        <w:outlineLvl w:val="2"/>
        <w:rPr>
          <w:rFonts w:hint="eastAsia" w:ascii="宋体" w:hAnsi="宋体"/>
          <w:b/>
          <w:bCs/>
          <w:sz w:val="28"/>
          <w:szCs w:val="28"/>
        </w:rPr>
      </w:pPr>
      <w:r>
        <w:rPr>
          <w:rFonts w:ascii="宋体" w:hAnsi="宋体"/>
          <w:b/>
          <w:bCs/>
          <w:sz w:val="28"/>
          <w:szCs w:val="28"/>
        </w:rPr>
        <w:t>3.1.2</w:t>
      </w:r>
      <w:r>
        <w:rPr>
          <w:rFonts w:hint="eastAsia" w:ascii="宋体" w:hAnsi="宋体"/>
          <w:b/>
          <w:bCs/>
          <w:sz w:val="28"/>
          <w:szCs w:val="28"/>
        </w:rPr>
        <w:t>多维图增强模块</w:t>
      </w:r>
    </w:p>
    <w:p w14:paraId="208773EE">
      <w:pPr>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 xml:space="preserve">多维图增强模块在 TGS 产生的类别分层结果指导下，从特征维度和拓扑维度增强每一个原始患者图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m:t>
        </m:r>
      </m:oMath>
      <w:r>
        <w:rPr>
          <w:rFonts w:hint="eastAsia" w:ascii="Times New Roman" w:hAnsi="Times New Roman" w:cs="Times New Roman"/>
          <w:sz w:val="24"/>
        </w:rPr>
        <w:t xml:space="preserve">，以缓解特征不平衡和拓扑不平衡。该模块生成增强图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A</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r>
          <m:rPr/>
          <w:rPr>
            <w:rFonts w:hint="default" w:ascii="Cambria Math" w:hAnsi="Cambria Math"/>
            <w:sz w:val="24"/>
          </w:rPr>
          <m:t>)</m:t>
        </m:r>
      </m:oMath>
      <w:r>
        <w:rPr>
          <w:rFonts w:hint="eastAsia" w:ascii="Times New Roman" w:hAnsi="Times New Roman" w:cs="Times New Roman"/>
          <w:sz w:val="24"/>
        </w:rPr>
        <w:t xml:space="preserve">，其中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oMath>
      <w:r>
        <w:rPr>
          <w:rFonts w:hint="eastAsia" w:ascii="Times New Roman" w:hAnsi="Times New Roman" w:cs="Times New Roman"/>
          <w:sz w:val="24"/>
        </w:rPr>
        <w:t xml:space="preserve"> 表示增强后的特征矩阵，</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A</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oMath>
      <w:r>
        <w:rPr>
          <w:rFonts w:hint="eastAsia" w:ascii="Times New Roman" w:hAnsi="Times New Roman" w:cs="Times New Roman"/>
          <w:sz w:val="24"/>
        </w:rPr>
        <w:t xml:space="preserve"> 表示修改后的邻接矩阵，</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oMath>
      <w:r>
        <w:rPr>
          <w:rFonts w:hint="eastAsia" w:ascii="Times New Roman" w:hAnsi="Times New Roman" w:cs="Times New Roman"/>
          <w:sz w:val="24"/>
        </w:rPr>
        <w:t xml:space="preserve"> 表示类别感知边权矩阵。增强操作仅作用于训练节点，验证节点和测试节点保留原始特征和连接关系。</w:t>
      </w:r>
    </w:p>
    <w:p w14:paraId="72DFB3A3">
      <w:pPr>
        <w:pStyle w:val="4"/>
        <w:spacing w:before="120" w:after="120" w:line="300" w:lineRule="auto"/>
        <w:jc w:val="left"/>
        <w:rPr>
          <w:rFonts w:hint="eastAsia" w:ascii="宋体" w:hAnsi="宋体" w:eastAsia="宋体" w:cs="宋体"/>
          <w:b w:val="0"/>
          <w:bCs w:val="0"/>
          <w:sz w:val="24"/>
          <w:szCs w:val="24"/>
          <w:lang w:bidi="ar"/>
        </w:rPr>
      </w:pPr>
      <w:bookmarkStart w:id="5" w:name="OLE_LINK29"/>
      <w:r>
        <w:rPr>
          <w:rFonts w:hint="eastAsia" w:ascii="宋体" w:hAnsi="宋体" w:eastAsia="宋体" w:cs="宋体"/>
          <w:b w:val="0"/>
          <w:bCs w:val="0"/>
          <w:sz w:val="24"/>
          <w:szCs w:val="24"/>
          <w:lang w:bidi="ar"/>
        </w:rPr>
        <w:t>3.1.2.1类别引导的特征增强</w:t>
      </w:r>
    </w:p>
    <w:bookmarkEnd w:id="5"/>
    <w:p w14:paraId="06C47398">
      <w:pPr>
        <w:snapToGrid w:val="0"/>
        <w:spacing w:line="360" w:lineRule="auto"/>
        <w:ind w:firstLine="480" w:firstLineChars="200"/>
        <w:rPr>
          <w:rFonts w:hint="eastAsia" w:hAnsi="Cambria Math"/>
          <w:b w:val="0"/>
          <w:i w:val="0"/>
          <w:sz w:val="24"/>
        </w:rPr>
      </w:pPr>
      <w:bookmarkStart w:id="6" w:name="OLE_LINK52"/>
      <w:r>
        <w:rPr>
          <w:rFonts w:hint="eastAsia" w:hAnsi="Cambria Math"/>
          <w:b w:val="0"/>
          <w:i w:val="0"/>
          <w:sz w:val="24"/>
        </w:rPr>
        <w:t>类别引导的特征增强对少数类节点保留更多信息，对中间类节点采用适度掩蔽，对多数类节点更强地抑制低显著性特征。特征显著性由原始患者图中的特征幅值和节点中心性共同估计。</w:t>
      </w:r>
    </w:p>
    <w:p w14:paraId="2E97ACD7">
      <w:pPr>
        <w:snapToGrid w:val="0"/>
        <w:spacing w:line="360" w:lineRule="auto"/>
        <w:ind w:firstLine="480" w:firstLineChars="200"/>
        <w:rPr>
          <w:rFonts w:hint="eastAsia" w:hAnsi="Cambria Math"/>
          <w:b w:val="0"/>
          <w:i w:val="0"/>
          <w:sz w:val="24"/>
        </w:rPr>
      </w:pPr>
      <w:r>
        <w:rPr>
          <w:rFonts w:hint="eastAsia" w:hAnsi="Cambria Math"/>
          <w:b w:val="0"/>
          <w:i w:val="0"/>
          <w:sz w:val="24"/>
        </w:rPr>
        <w:t>首先，在原始患者相似图上使用 PageRank 计算节点中心性：</w:t>
      </w:r>
    </w:p>
    <w:p w14:paraId="2A08FEFC">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hAnsi="Cambria Math"/>
          <w:b w:val="0"/>
          <w:i w:val="0"/>
          <w:sz w:val="24"/>
        </w:rPr>
      </w:pPr>
      <m:oMathPara>
        <m:oMathParaPr>
          <m:jc m:val="right"/>
        </m:oMathParaPr>
        <m:oMath>
          <m:r>
            <m:rPr/>
            <w:rPr>
              <w:rFonts w:hint="default" w:ascii="Cambria Math" w:hAnsi="Cambria Math" w:eastAsia="Times New Roman"/>
              <w:sz w:val="24"/>
            </w:rPr>
            <m:t>PR(i)=α</m:t>
          </m:r>
          <m:nary>
            <m:naryPr>
              <m:chr m:val="∑"/>
              <m:limLoc m:val="undOvr"/>
              <m:supHide m:val="1"/>
              <m:ctrlPr>
                <w:rPr>
                  <w:rFonts w:hint="default" w:ascii="Cambria Math" w:hAnsi="Cambria Math" w:eastAsia="Times New Roman"/>
                  <w:sz w:val="24"/>
                </w:rPr>
              </m:ctrlPr>
            </m:naryPr>
            <m:sub>
              <m:r>
                <m:rPr/>
                <w:rPr>
                  <w:rFonts w:hint="default" w:ascii="Cambria Math" w:hAnsi="Cambria Math" w:eastAsia="Times New Roman"/>
                  <w:sz w:val="24"/>
                </w:rPr>
                <m:t>j∈</m:t>
              </m:r>
              <m:r>
                <m:rPr>
                  <m:scr m:val="script"/>
                </m:rPr>
                <w:rPr>
                  <w:rFonts w:hint="default" w:ascii="Cambria Math" w:hAnsi="Cambria Math" w:eastAsia="MS Mincho"/>
                  <w:sz w:val="24"/>
                </w:rPr>
                <m:t>N</m:t>
              </m:r>
              <m:r>
                <m:rPr/>
                <w:rPr>
                  <w:rFonts w:hint="default" w:ascii="Cambria Math" w:hAnsi="Cambria Math" w:eastAsia="Times New Roman"/>
                  <w:sz w:val="24"/>
                </w:rPr>
                <m:t>(i)</m:t>
              </m:r>
              <m:ctrlPr>
                <w:rPr>
                  <w:rFonts w:ascii="Cambria Math" w:hAnsi="Cambria Math" w:eastAsia="Times New Roman"/>
                  <w:sz w:val="24"/>
                </w:rPr>
              </m:ctrlPr>
            </m:sub>
            <m:sup>
              <m:ctrlPr>
                <w:rPr>
                  <w:rFonts w:ascii="Cambria Math" w:hAnsi="Cambria Math" w:eastAsia="Times New Roman"/>
                  <w:sz w:val="24"/>
                </w:rPr>
              </m:ctrlPr>
            </m:sup>
            <m:e>
              <m:f>
                <m:fPr>
                  <m:ctrlPr>
                    <w:rPr>
                      <w:rFonts w:hint="default" w:ascii="Cambria Math" w:hAnsi="Cambria Math" w:eastAsia="Times New Roman"/>
                      <w:sz w:val="24"/>
                    </w:rPr>
                  </m:ctrlPr>
                </m:fPr>
                <m:num>
                  <m:sSub>
                    <m:sSubPr>
                      <m:ctrlPr>
                        <w:rPr>
                          <w:rFonts w:hint="default" w:ascii="Cambria Math" w:hAnsi="Cambria Math" w:eastAsia="Times New Roman"/>
                          <w:sz w:val="24"/>
                        </w:rPr>
                      </m:ctrlPr>
                    </m:sSubPr>
                    <m:e>
                      <m:r>
                        <m:rPr/>
                        <w:rPr>
                          <w:rFonts w:hint="default" w:ascii="Cambria Math" w:hAnsi="Cambria Math" w:eastAsia="Times New Roman"/>
                          <w:sz w:val="24"/>
                        </w:rPr>
                        <m:t>A</m:t>
                      </m:r>
                      <m:ctrlPr>
                        <w:rPr>
                          <w:rFonts w:ascii="Cambria Math" w:hAnsi="Cambria Math" w:eastAsia="Times New Roman"/>
                          <w:sz w:val="24"/>
                        </w:rPr>
                      </m:ctrlPr>
                    </m:e>
                    <m:sub>
                      <m:r>
                        <m:rPr/>
                        <w:rPr>
                          <w:rFonts w:hint="default" w:ascii="Cambria Math" w:hAnsi="Cambria Math" w:eastAsia="Times New Roman"/>
                          <w:sz w:val="24"/>
                        </w:rPr>
                        <m:t>ji</m:t>
                      </m:r>
                      <m:ctrlPr>
                        <w:rPr>
                          <w:rFonts w:ascii="Cambria Math" w:hAnsi="Cambria Math" w:eastAsia="Times New Roman"/>
                          <w:sz w:val="24"/>
                        </w:rPr>
                      </m:ctrlPr>
                    </m:sub>
                  </m:sSub>
                  <m:ctrlPr>
                    <w:rPr>
                      <w:rFonts w:hint="default" w:ascii="Cambria Math" w:hAnsi="Cambria Math" w:eastAsia="Times New Roman"/>
                      <w:sz w:val="24"/>
                    </w:rPr>
                  </m:ctrlPr>
                </m:num>
                <m:den>
                  <m:sSubSup>
                    <m:sSubSupPr>
                      <m:ctrlPr>
                        <w:rPr>
                          <w:rFonts w:hint="default" w:ascii="Cambria Math" w:hAnsi="Cambria Math" w:eastAsia="Times New Roman"/>
                          <w:sz w:val="24"/>
                        </w:rPr>
                      </m:ctrlPr>
                    </m:sSubSupPr>
                    <m:e>
                      <m:r>
                        <m:rPr/>
                        <w:rPr>
                          <w:rFonts w:hint="default" w:ascii="Cambria Math" w:hAnsi="Cambria Math" w:eastAsia="Times New Roman"/>
                          <w:sz w:val="24"/>
                        </w:rPr>
                        <m:t>d</m:t>
                      </m:r>
                      <m:ctrlPr>
                        <w:rPr>
                          <w:rFonts w:ascii="Cambria Math" w:hAnsi="Cambria Math" w:eastAsia="Times New Roman"/>
                          <w:sz w:val="24"/>
                        </w:rPr>
                      </m:ctrlPr>
                    </m:e>
                    <m:sub>
                      <m:r>
                        <m:rPr/>
                        <w:rPr>
                          <w:rFonts w:hint="default" w:ascii="Cambria Math" w:hAnsi="Cambria Math" w:eastAsia="Times New Roman"/>
                          <w:sz w:val="24"/>
                        </w:rPr>
                        <m:t>j</m:t>
                      </m:r>
                      <m:ctrlPr>
                        <w:rPr>
                          <w:rFonts w:ascii="Cambria Math" w:hAnsi="Cambria Math" w:eastAsia="Times New Roman"/>
                          <w:sz w:val="24"/>
                        </w:rPr>
                      </m:ctrlPr>
                    </m:sub>
                    <m:sup>
                      <m:r>
                        <m:rPr>
                          <m:sty m:val="p"/>
                        </m:rPr>
                        <w:rPr>
                          <w:rFonts w:hint="default" w:ascii="Cambria Math" w:hAnsi="Cambria Math" w:eastAsia="Times New Roman"/>
                          <w:sz w:val="24"/>
                        </w:rPr>
                        <m:t>out</m:t>
                      </m:r>
                      <m:ctrlPr>
                        <w:rPr>
                          <w:rFonts w:ascii="Cambria Math" w:hAnsi="Cambria Math" w:eastAsia="Times New Roman"/>
                          <w:sz w:val="24"/>
                        </w:rPr>
                      </m:ctrlPr>
                    </m:sup>
                  </m:sSubSup>
                  <m:ctrlPr>
                    <w:rPr>
                      <w:rFonts w:hint="default" w:ascii="Cambria Math" w:hAnsi="Cambria Math" w:eastAsia="Times New Roman"/>
                      <w:sz w:val="24"/>
                    </w:rPr>
                  </m:ctrlPr>
                </m:den>
              </m:f>
              <m:ctrlPr>
                <w:rPr>
                  <w:rFonts w:hint="default" w:ascii="Cambria Math" w:hAnsi="Cambria Math" w:eastAsia="Times New Roman"/>
                  <w:sz w:val="24"/>
                </w:rPr>
              </m:ctrlPr>
            </m:e>
          </m:nary>
          <m:r>
            <m:rPr/>
            <w:rPr>
              <w:rFonts w:hint="default" w:ascii="Cambria Math" w:hAnsi="Cambria Math" w:eastAsia="Times New Roman"/>
              <w:sz w:val="24"/>
            </w:rPr>
            <m:t>PR(j)+</m:t>
          </m:r>
          <m:f>
            <m:fPr>
              <m:ctrlPr>
                <w:rPr>
                  <w:rFonts w:hint="default" w:ascii="Cambria Math" w:hAnsi="Cambria Math" w:eastAsia="Times New Roman"/>
                  <w:sz w:val="24"/>
                </w:rPr>
              </m:ctrlPr>
            </m:fPr>
            <m:num>
              <m:r>
                <m:rPr/>
                <w:rPr>
                  <w:rFonts w:hint="default" w:ascii="Cambria Math" w:hAnsi="Cambria Math" w:eastAsia="Times New Roman"/>
                  <w:sz w:val="24"/>
                </w:rPr>
                <m:t>1−α</m:t>
              </m:r>
              <m:ctrlPr>
                <w:rPr>
                  <w:rFonts w:hint="default" w:ascii="Cambria Math" w:hAnsi="Cambria Math" w:eastAsia="Times New Roman"/>
                  <w:sz w:val="24"/>
                </w:rPr>
              </m:ctrlPr>
            </m:num>
            <m:den>
              <m:r>
                <m:rPr/>
                <w:rPr>
                  <w:rFonts w:hint="default" w:ascii="Cambria Math" w:hAnsi="Cambria Math" w:eastAsia="Times New Roman"/>
                  <w:sz w:val="24"/>
                </w:rPr>
                <m:t>N</m:t>
              </m:r>
              <m:ctrlPr>
                <w:rPr>
                  <w:rFonts w:hint="default" w:ascii="Cambria Math" w:hAnsi="Cambria Math" w:eastAsia="Times New Roman"/>
                  <w:sz w:val="24"/>
                </w:rPr>
              </m:ctrlPr>
            </m:den>
          </m:f>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m:t>
          </m:r>
          <m:r>
            <m:rPr>
              <m:nor/>
              <m:sty m:val="p"/>
            </m:rPr>
            <w:rPr>
              <w:rFonts w:hint="eastAsia" w:eastAsia="宋体" w:cs="Times New Roman"/>
              <w:b w:val="0"/>
              <w:i w:val="0"/>
              <w:sz w:val="24"/>
              <w:lang w:val="en-US" w:eastAsia="zh-CN"/>
            </w:rPr>
            <m:t>5</m:t>
          </m:r>
          <m:r>
            <m:rPr>
              <m:nor/>
              <m:sty m:val="p"/>
            </m:rPr>
            <w:rPr>
              <w:rFonts w:hint="default" w:ascii="Times New Roman" w:hAnsi="Times New Roman" w:eastAsia="宋体" w:cs="Times New Roman"/>
              <w:b w:val="0"/>
              <w:i w:val="0"/>
              <w:sz w:val="24"/>
              <w:lang w:val="en-US" w:eastAsia="zh-CN"/>
            </w:rPr>
            <m:t>)</m:t>
          </m:r>
        </m:oMath>
      </m:oMathPara>
    </w:p>
    <w:p w14:paraId="6BB6F753">
      <w:pPr>
        <w:snapToGrid w:val="0"/>
        <w:spacing w:line="360" w:lineRule="auto"/>
        <w:ind w:firstLine="480" w:firstLineChars="200"/>
        <w:rPr>
          <w:rFonts w:hint="eastAsia" w:hAnsi="Cambria Math"/>
          <w:b w:val="0"/>
          <w:i w:val="0"/>
          <w:sz w:val="24"/>
        </w:rPr>
      </w:pPr>
      <w:r>
        <w:rPr>
          <w:rFonts w:hint="eastAsia" w:hAnsi="Cambria Math"/>
          <w:b w:val="0"/>
          <w:i w:val="0"/>
          <w:sz w:val="24"/>
        </w:rPr>
        <w:t>其中，</w:t>
      </w:r>
      <m:oMath>
        <m:r>
          <m:rPr/>
          <w:rPr>
            <w:rFonts w:hint="default" w:ascii="Cambria Math" w:hAnsi="Cambria Math"/>
            <w:sz w:val="24"/>
          </w:rPr>
          <m:t>α∈(0,1)</m:t>
        </m:r>
      </m:oMath>
      <w:r>
        <w:rPr>
          <w:rFonts w:hint="eastAsia" w:hAnsi="Cambria Math"/>
          <w:b w:val="0"/>
          <w:i w:val="0"/>
          <w:sz w:val="24"/>
        </w:rPr>
        <w:t xml:space="preserve"> 为阻尼系数，</w:t>
      </w:r>
      <m:oMath>
        <m:r>
          <m:rPr>
            <m:scr m:val="script"/>
          </m:rPr>
          <w:rPr>
            <w:rFonts w:hint="default" w:ascii="Cambria Math" w:hAnsi="Cambria Math" w:eastAsia="MS Mincho"/>
            <w:sz w:val="24"/>
          </w:rPr>
          <m:t>N</m:t>
        </m:r>
        <m:r>
          <m:rPr/>
          <w:rPr>
            <w:rFonts w:hint="default" w:ascii="Cambria Math" w:hAnsi="Cambria Math"/>
            <w:sz w:val="24"/>
          </w:rPr>
          <m:t>(i)</m:t>
        </m:r>
      </m:oMath>
      <w:r>
        <w:rPr>
          <w:rFonts w:hint="eastAsia" w:hAnsi="Cambria Math"/>
          <w:b w:val="0"/>
          <w:i w:val="0"/>
          <w:sz w:val="24"/>
        </w:rPr>
        <w:t xml:space="preserve"> 表示与节点 </w:t>
      </w:r>
      <m:oMath>
        <m:r>
          <m:rPr/>
          <w:rPr>
            <w:rFonts w:hint="default" w:ascii="Cambria Math" w:hAnsi="Cambria Math"/>
            <w:sz w:val="24"/>
          </w:rPr>
          <m:t>i</m:t>
        </m:r>
      </m:oMath>
      <w:r>
        <w:rPr>
          <w:rFonts w:hint="eastAsia" w:hAnsi="Cambria Math"/>
          <w:b w:val="0"/>
          <w:i w:val="0"/>
          <w:sz w:val="24"/>
        </w:rPr>
        <w:t xml:space="preserve"> 相连的节点集合，</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ji</m:t>
            </m:r>
            <m:ctrlPr>
              <w:rPr>
                <w:rFonts w:ascii="Cambria Math" w:hAnsi="Cambria Math"/>
                <w:sz w:val="24"/>
              </w:rPr>
            </m:ctrlPr>
          </m:sub>
        </m:sSub>
      </m:oMath>
      <w:r>
        <w:rPr>
          <w:rFonts w:hint="eastAsia" w:hAnsi="Cambria Math"/>
          <w:b w:val="0"/>
          <w:i w:val="0"/>
          <w:sz w:val="24"/>
        </w:rPr>
        <w:t xml:space="preserve"> 表示节点 </w:t>
      </w:r>
      <m:oMath>
        <m:r>
          <m:rPr/>
          <w:rPr>
            <w:rFonts w:hint="default" w:ascii="Cambria Math" w:hAnsi="Cambria Math"/>
            <w:sz w:val="24"/>
          </w:rPr>
          <m:t>j</m:t>
        </m:r>
      </m:oMath>
      <w:r>
        <w:rPr>
          <w:rFonts w:hint="eastAsia" w:hAnsi="Cambria Math"/>
          <w:b w:val="0"/>
          <w:i w:val="0"/>
          <w:sz w:val="24"/>
        </w:rPr>
        <w:t xml:space="preserve"> 到节点 </w:t>
      </w:r>
      <m:oMath>
        <m:r>
          <m:rPr/>
          <w:rPr>
            <w:rFonts w:hint="default" w:ascii="Cambria Math" w:hAnsi="Cambria Math"/>
            <w:sz w:val="24"/>
          </w:rPr>
          <m:t>i</m:t>
        </m:r>
      </m:oMath>
      <w:r>
        <w:rPr>
          <w:rFonts w:hint="eastAsia" w:hAnsi="Cambria Math"/>
          <w:b w:val="0"/>
          <w:i w:val="0"/>
          <w:sz w:val="24"/>
        </w:rPr>
        <w:t xml:space="preserve"> 是否存在边，</w:t>
      </w:r>
      <m:oMath>
        <m:sSubSup>
          <m:sSubSupPr>
            <m:ctrlPr>
              <w:rPr>
                <w:rFonts w:hint="default" w:ascii="Cambria Math" w:hAnsi="Cambria Math"/>
                <w:sz w:val="24"/>
              </w:rPr>
            </m:ctrlPr>
          </m:sSubSup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up>
            <m:r>
              <m:rPr/>
              <w:rPr>
                <w:rFonts w:hint="default" w:ascii="Cambria Math" w:hAnsi="Cambria Math"/>
                <w:sz w:val="24"/>
              </w:rPr>
              <m:t>out</m:t>
            </m:r>
            <m:ctrlPr>
              <w:rPr>
                <w:rFonts w:ascii="Cambria Math" w:hAnsi="Cambria Math"/>
                <w:sz w:val="24"/>
              </w:rPr>
            </m:ctrlPr>
          </m:sup>
        </m:sSubSup>
        <m:r>
          <m:rPr/>
          <w:rPr>
            <w:rFonts w:hint="default" w:ascii="Cambria Math" w:hAnsi="Cambria Math"/>
            <w:sz w:val="24"/>
          </w:rPr>
          <m:t>=</m:t>
        </m:r>
        <m:nary>
          <m:naryPr>
            <m:chr m:val="∑"/>
            <m:limLoc m:val="subSup"/>
            <m:ctrlPr>
              <w:rPr>
                <w:rFonts w:hint="default" w:ascii="Cambria Math" w:hAnsi="Cambria Math"/>
                <w:sz w:val="24"/>
              </w:rPr>
            </m:ctrlPr>
          </m:naryPr>
          <m:sub>
            <m:r>
              <m:rPr/>
              <w:rPr>
                <w:rFonts w:hint="default" w:ascii="Cambria Math" w:hAnsi="Cambria Math"/>
                <w:sz w:val="24"/>
              </w:rPr>
              <m:t>k=1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jk</m:t>
                </m:r>
                <m:ctrlPr>
                  <w:rPr>
                    <w:rFonts w:ascii="Cambria Math" w:hAnsi="Cambria Math"/>
                    <w:sz w:val="24"/>
                  </w:rPr>
                </m:ctrlPr>
              </m:sub>
            </m:sSub>
            <m:ctrlPr>
              <w:rPr>
                <w:rFonts w:hint="default" w:ascii="Cambria Math" w:hAnsi="Cambria Math"/>
                <w:sz w:val="24"/>
              </w:rPr>
            </m:ctrlPr>
          </m:e>
        </m:nary>
      </m:oMath>
      <w:r>
        <w:rPr>
          <w:rFonts w:hint="eastAsia" w:hAnsi="Cambria Math"/>
          <w:b w:val="0"/>
          <w:i w:val="0"/>
          <w:sz w:val="24"/>
        </w:rPr>
        <w:t xml:space="preserve"> 表示节点 </w:t>
      </w:r>
      <m:oMath>
        <m:r>
          <m:rPr/>
          <w:rPr>
            <w:rFonts w:hint="default" w:ascii="Cambria Math" w:hAnsi="Cambria Math"/>
            <w:sz w:val="24"/>
          </w:rPr>
          <m:t>j</m:t>
        </m:r>
      </m:oMath>
      <w:r>
        <w:rPr>
          <w:rFonts w:hint="eastAsia" w:hAnsi="Cambria Math"/>
          <w:b w:val="0"/>
          <w:i w:val="0"/>
          <w:sz w:val="24"/>
        </w:rPr>
        <w:t xml:space="preserve"> 的出度，</w:t>
      </w:r>
      <m:oMath>
        <m:r>
          <m:rPr/>
          <w:rPr>
            <w:rFonts w:hint="default" w:ascii="Cambria Math" w:hAnsi="Cambria Math"/>
            <w:sz w:val="24"/>
          </w:rPr>
          <m:t>N</m:t>
        </m:r>
      </m:oMath>
      <w:r>
        <w:rPr>
          <w:rFonts w:hint="eastAsia" w:hAnsi="Cambria Math"/>
          <w:b w:val="0"/>
          <w:i w:val="0"/>
          <w:sz w:val="24"/>
        </w:rPr>
        <w:t xml:space="preserve"> 表示节点总数。由于患者图为无向图，因此 </w:t>
      </w:r>
      <m:oMath>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ji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Sub>
      </m:oMath>
      <w:r>
        <w:rPr>
          <w:rFonts w:hint="eastAsia" w:hAnsi="Cambria Math"/>
          <w:b w:val="0"/>
          <w:i w:val="0"/>
          <w:sz w:val="24"/>
        </w:rPr>
        <w:t>。</w:t>
      </w:r>
    </w:p>
    <w:p w14:paraId="7AD1C8C4">
      <w:pPr>
        <w:snapToGrid w:val="0"/>
        <w:spacing w:line="360" w:lineRule="auto"/>
        <w:ind w:firstLine="480" w:firstLineChars="200"/>
        <w:rPr>
          <w:rFonts w:hint="eastAsia" w:hAnsi="Cambria Math"/>
          <w:b w:val="0"/>
          <w:i w:val="0"/>
          <w:sz w:val="24"/>
        </w:rPr>
      </w:pPr>
      <w:r>
        <w:rPr>
          <w:rFonts w:hint="eastAsia" w:hAnsi="Cambria Math"/>
          <w:b w:val="0"/>
          <w:i w:val="0"/>
          <w:sz w:val="24"/>
        </w:rPr>
        <w:t xml:space="preserve">基于 PageRank 得分，第 </w:t>
      </w:r>
      <m:oMath>
        <m:r>
          <m:rPr/>
          <w:rPr>
            <w:rFonts w:hint="default" w:ascii="Cambria Math" w:hAnsi="Cambria Math"/>
            <w:sz w:val="24"/>
          </w:rPr>
          <m:t>f</m:t>
        </m:r>
      </m:oMath>
      <w:r>
        <w:rPr>
          <w:rFonts w:hint="eastAsia" w:hAnsi="Cambria Math"/>
          <w:b w:val="0"/>
          <w:i w:val="0"/>
          <w:sz w:val="24"/>
        </w:rPr>
        <w:t xml:space="preserve"> 个特征维度的结构显著性得分定义为：</w:t>
      </w:r>
    </w:p>
    <w:p w14:paraId="15C16F40">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hAnsi="Cambria Math"/>
          <w:b w:val="0"/>
          <w:i w:val="0"/>
          <w:sz w:val="24"/>
        </w:rPr>
      </w:pPr>
      <m:oMathPara>
        <m:oMathParaPr>
          <m:jc m:val="right"/>
        </m:oMathParaP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f</m:t>
              </m:r>
              <m:ctrlPr>
                <w:rPr>
                  <w:rFonts w:ascii="Cambria Math" w:hAnsi="Cambria Math" w:eastAsia="宋体"/>
                  <w:sz w:val="24"/>
                </w:rPr>
              </m:ctrlPr>
            </m:sub>
          </m:sSub>
          <m:r>
            <m:rPr/>
            <w:rPr>
              <w:rFonts w:hint="default" w:ascii="Cambria Math" w:hAnsi="Cambria Math" w:eastAsia="宋体"/>
              <w:sz w:val="24"/>
            </w:rPr>
            <m:t>=</m:t>
          </m:r>
          <m:nary>
            <m:naryPr>
              <m:chr m:val="∑"/>
              <m:limLoc m:val="undOvr"/>
              <m:ctrlPr>
                <w:rPr>
                  <w:rFonts w:hint="default" w:ascii="Cambria Math" w:hAnsi="Cambria Math" w:eastAsia="宋体"/>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if</m:t>
              </m:r>
              <m:ctrlPr>
                <w:rPr>
                  <w:rFonts w:ascii="Cambria Math" w:hAnsi="Cambria Math" w:eastAsia="宋体"/>
                  <w:sz w:val="24"/>
                </w:rPr>
              </m:ctrlPr>
            </m:sub>
          </m:sSub>
          <m:r>
            <m:rPr/>
            <w:rPr>
              <w:rFonts w:hint="default" w:ascii="Cambria Math" w:hAnsi="Cambria Math" w:eastAsia="宋体"/>
              <w:sz w:val="24"/>
            </w:rPr>
            <m:t>|⋅PR(i)</m:t>
          </m:r>
          <m:r>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m:t>
          </m:r>
          <m:r>
            <m:rPr>
              <m:nor/>
              <m:sty m:val="p"/>
            </m:rPr>
            <w:rPr>
              <w:rFonts w:hint="eastAsia" w:eastAsia="宋体" w:cs="Times New Roman"/>
              <w:b w:val="0"/>
              <w:i w:val="0"/>
              <w:sz w:val="24"/>
              <w:lang w:val="en-US" w:eastAsia="zh-CN"/>
            </w:rPr>
            <m:t>6</m:t>
          </m:r>
          <m:r>
            <m:rPr>
              <m:nor/>
              <m:sty m:val="p"/>
            </m:rPr>
            <w:rPr>
              <w:rFonts w:hint="default" w:ascii="Times New Roman" w:hAnsi="Times New Roman" w:eastAsia="宋体" w:cs="Times New Roman"/>
              <w:b w:val="0"/>
              <w:i w:val="0"/>
              <w:sz w:val="24"/>
              <w:lang w:val="en-US" w:eastAsia="zh-CN"/>
            </w:rPr>
            <m:t>)</m:t>
          </m:r>
        </m:oMath>
      </m:oMathPara>
    </w:p>
    <w:p w14:paraId="3446C46B">
      <w:pPr>
        <w:snapToGrid w:val="0"/>
        <w:spacing w:line="360" w:lineRule="auto"/>
        <w:ind w:firstLine="480" w:firstLineChars="200"/>
        <w:rPr>
          <w:rFonts w:hint="eastAsia" w:hAnsi="Cambria Math"/>
          <w:b w:val="0"/>
          <w:i w:val="0"/>
          <w:sz w:val="24"/>
        </w:rPr>
      </w:pPr>
      <w:r>
        <w:rPr>
          <w:rFonts w:hint="eastAsia" w:hAnsi="Cambria Math"/>
          <w:b w:val="0"/>
          <w:i w:val="0"/>
          <w:sz w:val="24"/>
        </w:rPr>
        <w:t>其中，</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if</m:t>
            </m:r>
            <m:ctrlPr>
              <w:rPr>
                <w:rFonts w:ascii="Cambria Math" w:hAnsi="Cambria Math"/>
                <w:sz w:val="24"/>
              </w:rPr>
            </m:ctrlPr>
          </m:sub>
        </m:sSub>
      </m:oMath>
      <w:r>
        <w:rPr>
          <w:rFonts w:hint="eastAsia" w:hAnsi="Cambria Math"/>
          <w:b w:val="0"/>
          <w:i w:val="0"/>
          <w:sz w:val="24"/>
        </w:rPr>
        <w:t xml:space="preserve"> 表示节点 </w:t>
      </w:r>
      <m:oMath>
        <m:r>
          <m:rPr/>
          <w:rPr>
            <w:rFonts w:hint="default" w:ascii="Cambria Math" w:hAnsi="Cambria Math"/>
            <w:sz w:val="24"/>
          </w:rPr>
          <m:t>i</m:t>
        </m:r>
      </m:oMath>
      <w:r>
        <w:rPr>
          <w:rFonts w:hint="eastAsia" w:hAnsi="Cambria Math"/>
          <w:b w:val="0"/>
          <w:i w:val="0"/>
          <w:sz w:val="24"/>
        </w:rPr>
        <w:t xml:space="preserve"> 在特征维度 </w:t>
      </w:r>
      <m:oMath>
        <m:r>
          <m:rPr/>
          <w:rPr>
            <w:rFonts w:hint="default" w:ascii="Cambria Math" w:hAnsi="Cambria Math"/>
            <w:sz w:val="24"/>
          </w:rPr>
          <m:t>f</m:t>
        </m:r>
      </m:oMath>
      <w:r>
        <w:rPr>
          <w:rFonts w:hint="eastAsia" w:hAnsi="Cambria Math"/>
          <w:b w:val="0"/>
          <w:i w:val="0"/>
          <w:sz w:val="24"/>
        </w:rPr>
        <w:t xml:space="preserve"> 上的取值。</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hAnsi="Cambria Math"/>
          <w:b w:val="0"/>
          <w:i w:val="0"/>
          <w:sz w:val="24"/>
        </w:rPr>
        <w:t xml:space="preserve"> 越大，表示特征 </w:t>
      </w:r>
      <m:oMath>
        <m:r>
          <m:rPr/>
          <w:rPr>
            <w:rFonts w:hint="default" w:ascii="Cambria Math" w:hAnsi="Cambria Math"/>
            <w:sz w:val="24"/>
          </w:rPr>
          <m:t>f</m:t>
        </m:r>
      </m:oMath>
      <w:r>
        <w:rPr>
          <w:rFonts w:hint="eastAsia" w:hAnsi="Cambria Math"/>
          <w:b w:val="0"/>
          <w:i w:val="0"/>
          <w:sz w:val="24"/>
        </w:rPr>
        <w:t xml:space="preserve"> 在结构重要节点上具有更大取值，因此在特征掩蔽过程中具有更高重要性。</w:t>
      </w:r>
    </w:p>
    <w:p w14:paraId="69EC8BAA">
      <w:pPr>
        <w:snapToGrid w:val="0"/>
        <w:spacing w:line="360" w:lineRule="auto"/>
        <w:ind w:firstLine="480" w:firstLineChars="200"/>
        <w:rPr>
          <w:rFonts w:hint="eastAsia" w:hAnsi="Cambria Math"/>
          <w:b w:val="0"/>
          <w:i w:val="0"/>
          <w:sz w:val="24"/>
        </w:rPr>
      </w:pPr>
      <w:r>
        <w:rPr>
          <w:rFonts w:hint="eastAsia" w:hAnsi="Cambria Math"/>
          <w:b w:val="0"/>
          <w:i w:val="0"/>
          <w:sz w:val="24"/>
        </w:rPr>
        <w:t xml:space="preserve">为了将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hAnsi="Cambria Math"/>
          <w:b w:val="0"/>
          <w:i w:val="0"/>
          <w:sz w:val="24"/>
        </w:rPr>
        <w:t xml:space="preserve"> 转换为掩蔽概率，先对其进行对数变换，变换后的结果仍记为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log</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+ϵ)</m:t>
        </m:r>
      </m:oMath>
      <w:r>
        <w:rPr>
          <w:rFonts w:hint="eastAsia" w:hAnsi="Cambria Math"/>
          <w:b w:val="0"/>
          <w:i w:val="0"/>
          <w:sz w:val="24"/>
        </w:rPr>
        <w:t xml:space="preserve">，其中 </w:t>
      </w:r>
      <m:oMath>
        <m:r>
          <m:rPr/>
          <w:rPr>
            <w:rFonts w:hint="default" w:ascii="Cambria Math" w:hAnsi="Cambria Math"/>
            <w:sz w:val="24"/>
          </w:rPr>
          <m:t>ϵ</m:t>
        </m:r>
      </m:oMath>
      <w:r>
        <w:rPr>
          <w:rFonts w:hint="eastAsia" w:hAnsi="Cambria Math"/>
          <w:b w:val="0"/>
          <w:i w:val="0"/>
          <w:sz w:val="24"/>
        </w:rPr>
        <w:t xml:space="preserve"> 为防止数值不稳定的极小正数。随后采用反向最小-最大归一化计算特征 </w:t>
      </w:r>
      <m:oMath>
        <m:r>
          <m:rPr/>
          <w:rPr>
            <w:rFonts w:hint="default" w:ascii="Cambria Math" w:hAnsi="Cambria Math"/>
            <w:sz w:val="24"/>
          </w:rPr>
          <m:t>f</m:t>
        </m:r>
      </m:oMath>
      <w:r>
        <w:rPr>
          <w:rFonts w:hint="eastAsia" w:hAnsi="Cambria Math"/>
          <w:b w:val="0"/>
          <w:i w:val="0"/>
          <w:sz w:val="24"/>
        </w:rPr>
        <w:t xml:space="preserve"> 的相对掩蔽得分：</w:t>
      </w:r>
    </w:p>
    <w:p w14:paraId="204ECFD5">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hAnsi="Times New Roman" w:eastAsia="宋体" w:cs="Times New Roman"/>
          <w:b w:val="0"/>
          <w:i w:val="0"/>
          <w:sz w:val="24"/>
          <w:lang w:val="en-US" w:eastAsia="zh-CN"/>
        </w:rPr>
      </w:pPr>
      <m:oMathPara>
        <m:oMathParaPr>
          <m:jc m:val="right"/>
        </m:oMathParaPr>
        <m:oMath>
          <m:sSub>
            <m:sSubPr>
              <m:ctrlPr>
                <w:rPr>
                  <w:rFonts w:hint="default" w:ascii="Cambria Math" w:hAnsi="Cambria Math" w:eastAsia="Times New Roman"/>
                  <w:sz w:val="24"/>
                </w:rPr>
              </m:ctrlPr>
            </m:sSubPr>
            <m:e>
              <m:r>
                <m:rPr/>
                <w:rPr>
                  <w:rFonts w:hint="default" w:ascii="Cambria Math" w:hAnsi="Cambria Math" w:eastAsia="Times New Roman"/>
                  <w:sz w:val="24"/>
                </w:rPr>
                <m:t>ρ</m:t>
              </m:r>
              <m:ctrlPr>
                <w:rPr>
                  <w:rFonts w:ascii="Cambria Math" w:hAnsi="Cambria Math" w:eastAsia="Times New Roman"/>
                  <w:sz w:val="24"/>
                </w:rPr>
              </m:ctrlPr>
            </m:e>
            <m:sub>
              <m:r>
                <m:rPr/>
                <w:rPr>
                  <w:rFonts w:hint="default" w:ascii="Cambria Math" w:hAnsi="Cambria Math" w:eastAsia="Times New Roman"/>
                  <w:sz w:val="24"/>
                </w:rPr>
                <m:t>f</m:t>
              </m:r>
              <m:ctrlPr>
                <w:rPr>
                  <w:rFonts w:ascii="Cambria Math" w:hAnsi="Cambria Math" w:eastAsia="Times New Roman"/>
                  <w:sz w:val="24"/>
                </w:rPr>
              </m:ctrlPr>
            </m:sub>
          </m:sSub>
          <m:r>
            <m:rPr/>
            <w:rPr>
              <w:rFonts w:hint="default" w:ascii="Cambria Math" w:hAnsi="Cambria Math" w:eastAsia="Times New Roman"/>
              <w:sz w:val="24"/>
            </w:rPr>
            <m:t>=</m:t>
          </m:r>
          <m:f>
            <m:fPr>
              <m:ctrlPr>
                <w:rPr>
                  <w:rFonts w:hint="default" w:ascii="Cambria Math" w:hAnsi="Cambria Math" w:eastAsia="Times New Roman"/>
                  <w:sz w:val="24"/>
                </w:rPr>
              </m:ctrlPr>
            </m:fPr>
            <m:num>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f,max</m:t>
                  </m:r>
                  <m:ctrlPr>
                    <w:rPr>
                      <w:rFonts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t>
                  </m:r>
                  <m:ctrlPr>
                    <w:rPr>
                      <w:rFonts w:ascii="Cambria Math" w:hAnsi="Cambria Math" w:eastAsia="Times New Roman"/>
                      <w:sz w:val="24"/>
                    </w:rPr>
                  </m:ctrlPr>
                </m:sub>
              </m:sSub>
              <m:ctrlPr>
                <w:rPr>
                  <w:rFonts w:hint="default" w:ascii="Cambria Math" w:hAnsi="Cambria Math" w:eastAsia="Times New Roman"/>
                  <w:sz w:val="24"/>
                </w:rPr>
              </m:ctrlPr>
            </m:num>
            <m:den>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f,max</m:t>
                  </m:r>
                  <m:ctrlPr>
                    <w:rPr>
                      <w:rFonts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t>
                  </m:r>
                  <m:r>
                    <m:rPr/>
                    <w:rPr>
                      <w:rFonts w:hint="default" w:ascii="Cambria Math" w:hAnsi="Cambria Math" w:eastAsia="宋体"/>
                      <w:sz w:val="24"/>
                      <w:lang w:val="en-US" w:eastAsia="zh-CN"/>
                    </w:rPr>
                    <m:t>min</m:t>
                  </m:r>
                  <m:ctrlPr>
                    <w:rPr>
                      <w:rFonts w:ascii="Cambria Math" w:hAnsi="Cambria Math" w:eastAsia="Times New Roman"/>
                      <w:sz w:val="24"/>
                    </w:rPr>
                  </m:ctrlPr>
                </m:sub>
              </m:sSub>
              <m:r>
                <m:rPr>
                  <m:sty m:val="p"/>
                </m:rPr>
                <w:rPr>
                  <w:rFonts w:hint="default" w:ascii="Cambria Math" w:hAnsi="Cambria Math" w:eastAsia="Times New Roman"/>
                  <w:sz w:val="24"/>
                </w:rPr>
                <m:t>+</m:t>
              </m:r>
              <m:r>
                <m:rPr/>
                <w:rPr>
                  <w:rFonts w:hint="default" w:ascii="Cambria Math" w:hAnsi="Cambria Math" w:eastAsia="Times New Roman"/>
                  <w:sz w:val="24"/>
                </w:rPr>
                <m:t>ϵ</m:t>
              </m:r>
              <m:ctrlPr>
                <w:rPr>
                  <w:rFonts w:hint="default" w:ascii="Cambria Math" w:hAnsi="Cambria Math" w:eastAsia="Times New Roman"/>
                  <w:sz w:val="24"/>
                </w:rPr>
              </m:ctrlPr>
            </m:den>
          </m:f>
          <m:r>
            <m:rPr/>
            <w:rPr>
              <w:rFonts w:hint="default" w:ascii="Cambria Math" w:hAnsi="Cambria Math" w:eastAsia="宋体"/>
              <w:sz w:val="24"/>
              <w:lang w:val="en-US" w:eastAsia="zh-CN"/>
            </w:rPr>
            <m:t xml:space="preserve">                                                          </m:t>
          </m:r>
          <m:r>
            <m:rPr>
              <m:nor/>
              <m:sty m:val="b"/>
            </m:rPr>
            <w:rPr>
              <w:rFonts w:hint="default" w:ascii="Times New Roman" w:hAnsi="Times New Roman" w:eastAsia="Times New Roman" w:cs="Times New Roman"/>
              <w:b/>
              <w:i w:val="0"/>
              <w:sz w:val="24"/>
            </w:rPr>
            <m:t>(7)</m:t>
          </m:r>
        </m:oMath>
      </m:oMathPara>
    </w:p>
    <w:p w14:paraId="382EB288">
      <w:pPr>
        <w:snapToGrid w:val="0"/>
        <w:spacing w:line="360" w:lineRule="auto"/>
        <w:ind w:firstLine="480" w:firstLineChars="200"/>
        <w:rPr>
          <w:rFonts w:hint="eastAsia" w:hAnsi="Cambria Math"/>
          <w:b w:val="0"/>
          <w:i w:val="0"/>
          <w:sz w:val="24"/>
        </w:rPr>
      </w:pPr>
      <w:r>
        <w:rPr>
          <w:rFonts w:hint="eastAsia" w:hAnsi="Cambria Math"/>
          <w:b w:val="0"/>
          <w:i w:val="0"/>
          <w:sz w:val="24"/>
        </w:rPr>
        <w:t>其中，</w:t>
      </w:r>
      <m:oMath>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f,max</m:t>
            </m:r>
            <m:ctrlPr>
              <w:rPr>
                <w:rFonts w:ascii="Cambria Math" w:hAnsi="Cambria Math" w:eastAsia="Times New Roman"/>
                <w:sz w:val="24"/>
              </w:rPr>
            </m:ctrlPr>
          </m:sub>
        </m:sSub>
      </m:oMath>
      <w:r>
        <w:rPr>
          <w:rFonts w:hint="eastAsia" w:hAnsi="Cambria Math"/>
          <w:b w:val="0"/>
          <w:i w:val="0"/>
          <w:sz w:val="24"/>
        </w:rPr>
        <w:t xml:space="preserve"> 和 </w:t>
      </w:r>
      <m:oMath>
        <m:sSub>
          <m:sSubPr>
            <m:ctrlPr>
              <w:rPr>
                <w:rFonts w:hint="default" w:ascii="Cambria Math" w:hAnsi="Cambria Math" w:eastAsia="Times New Roman"/>
                <w:sz w:val="24"/>
              </w:rPr>
            </m:ctrlPr>
          </m:sSubPr>
          <m:e>
            <m:r>
              <m:rPr/>
              <w:rPr>
                <w:rFonts w:hint="default" w:ascii="Cambria Math" w:hAnsi="Cambria Math" w:eastAsia="Times New Roman"/>
                <w:sz w:val="24"/>
              </w:rPr>
              <m:t>s</m:t>
            </m:r>
            <m:ctrlPr>
              <w:rPr>
                <w:rFonts w:ascii="Cambria Math" w:hAnsi="Cambria Math" w:eastAsia="Times New Roman"/>
                <w:sz w:val="24"/>
              </w:rPr>
            </m:ctrlPr>
          </m:e>
          <m:sub>
            <m:r>
              <m:rPr/>
              <w:rPr>
                <w:rFonts w:hint="default" w:ascii="Cambria Math" w:hAnsi="Cambria Math" w:eastAsia="Times New Roman"/>
                <w:sz w:val="24"/>
              </w:rPr>
              <m:t>f,min</m:t>
            </m:r>
            <m:ctrlPr>
              <w:rPr>
                <w:rFonts w:ascii="Cambria Math" w:hAnsi="Cambria Math" w:eastAsia="Times New Roman"/>
                <w:sz w:val="24"/>
              </w:rPr>
            </m:ctrlPr>
          </m:sub>
        </m:sSub>
      </m:oMath>
      <w:r>
        <w:rPr>
          <w:rFonts w:hint="eastAsia" w:hAnsi="Cambria Math"/>
          <w:b w:val="0"/>
          <w:i w:val="0"/>
          <w:sz w:val="24"/>
        </w:rPr>
        <w:t xml:space="preserve"> 分别表示所有特征维度中变换后结构显著性得分的最大值和最小值。</w:t>
      </w:r>
      <m:oMath>
        <m:sSub>
          <m:sSubPr>
            <m:ctrlPr>
              <w:rPr>
                <w:rFonts w:hint="default" w:ascii="Cambria Math" w:hAnsi="Cambria Math"/>
                <w:sz w:val="24"/>
              </w:rPr>
            </m:ctrlPr>
          </m:sSubPr>
          <m:e>
            <m:r>
              <m:rPr/>
              <w:rPr>
                <w:rFonts w:hint="default" w:ascii="Cambria Math" w:hAnsi="Cambria Math"/>
                <w:sz w:val="24"/>
              </w:rPr>
              <m:t>ρ</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hAnsi="Cambria Math"/>
          <w:b w:val="0"/>
          <w:i w:val="0"/>
          <w:sz w:val="24"/>
        </w:rPr>
        <w:t xml:space="preserve"> 越大，表示该特征结构显著性越低，被掩蔽的倾向越强。</w:t>
      </w:r>
    </w:p>
    <w:p w14:paraId="2C745BC3">
      <w:pPr>
        <w:snapToGrid w:val="0"/>
        <w:spacing w:line="360" w:lineRule="auto"/>
        <w:ind w:firstLine="480" w:firstLineChars="200"/>
        <w:rPr>
          <w:rFonts w:hint="eastAsia" w:hAnsi="Cambria Math"/>
          <w:b w:val="0"/>
          <w:i w:val="0"/>
          <w:sz w:val="24"/>
        </w:rPr>
      </w:pPr>
      <w:r>
        <w:rPr>
          <w:rFonts w:hint="eastAsia" w:hAnsi="Cambria Math"/>
          <w:b w:val="0"/>
          <w:i w:val="0"/>
          <w:sz w:val="24"/>
        </w:rPr>
        <w:t>对于训练节点</w:t>
      </w:r>
      <m:oMath>
        <m:r>
          <m:rPr/>
          <w:rPr>
            <w:rFonts w:hint="default" w:ascii="Cambria Math" w:hAnsi="Cambria Math"/>
            <w:sz w:val="24"/>
          </w:rPr>
          <m:t>n</m:t>
        </m:r>
      </m:oMath>
      <w:r>
        <w:rPr>
          <w:rFonts w:hint="eastAsia" w:hAnsi="Cambria Math"/>
          <w:b w:val="0"/>
          <w:i w:val="0"/>
          <w:sz w:val="24"/>
        </w:rPr>
        <w:t xml:space="preserve">，其特征 </w:t>
      </w:r>
      <m:oMath>
        <m:r>
          <m:rPr/>
          <w:rPr>
            <w:rFonts w:hint="default" w:ascii="Cambria Math" w:hAnsi="Cambria Math"/>
            <w:sz w:val="24"/>
          </w:rPr>
          <m:t>f</m:t>
        </m:r>
      </m:oMath>
      <w:r>
        <w:rPr>
          <w:rFonts w:hint="eastAsia" w:hAnsi="Cambria Math"/>
          <w:b w:val="0"/>
          <w:i w:val="0"/>
          <w:sz w:val="24"/>
        </w:rPr>
        <w:t xml:space="preserve"> 的掩蔽概率定义为：</w:t>
      </w:r>
    </w:p>
    <w:p w14:paraId="60F14E8B">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hAnsi="Times New Roman" w:eastAsia="宋体" w:cs="Times New Roman"/>
          <w:b w:val="0"/>
          <w:i w:val="0"/>
          <w:sz w:val="24"/>
          <w:lang w:val="en-US" w:eastAsia="zh-CN"/>
        </w:rPr>
      </w:pPr>
      <m:oMathPara>
        <m:oMathParaPr>
          <m:jc m:val="right"/>
        </m:oMathParaPr>
        <m:oMath>
          <m:sSubSup>
            <m:sSubSupPr>
              <m:ctrlPr>
                <w:rPr>
                  <w:rFonts w:hint="default" w:ascii="Cambria Math" w:hAnsi="Cambria Math" w:eastAsia="Times New Roman"/>
                  <w:sz w:val="24"/>
                </w:rPr>
              </m:ctrlPr>
            </m:sSubSupPr>
            <m:e>
              <m:r>
                <m:rPr/>
                <w:rPr>
                  <w:rFonts w:hint="default" w:ascii="Cambria Math" w:hAnsi="Cambria Math" w:eastAsia="Times New Roman"/>
                  <w:sz w:val="24"/>
                </w:rPr>
                <m:t>p</m:t>
              </m:r>
              <m:ctrlPr>
                <w:rPr>
                  <w:rFonts w:ascii="Cambria Math" w:hAnsi="Cambria Math" w:eastAsia="Times New Roman"/>
                  <w:sz w:val="24"/>
                </w:rPr>
              </m:ctrlPr>
            </m:e>
            <m:sub>
              <m:r>
                <m:rPr>
                  <m:sty m:val="p"/>
                </m:rPr>
                <w:rPr>
                  <w:rFonts w:hint="default" w:ascii="Cambria Math" w:hAnsi="Cambria Math" w:eastAsia="Times New Roman"/>
                  <w:sz w:val="24"/>
                </w:rPr>
                <m:t>drop</m:t>
              </m:r>
              <m:ctrlPr>
                <w:rPr>
                  <w:rFonts w:ascii="Cambria Math" w:hAnsi="Cambria Math" w:eastAsia="Times New Roman"/>
                  <w:sz w:val="24"/>
                </w:rPr>
              </m:ctrlPr>
            </m:sub>
            <m:sup>
              <m:r>
                <m:rPr/>
                <w:rPr>
                  <w:rFonts w:hint="default" w:ascii="Cambria Math" w:hAnsi="Cambria Math" w:eastAsia="Times New Roman"/>
                  <w:sz w:val="24"/>
                </w:rPr>
                <m:t>(n)</m:t>
              </m:r>
              <m:ctrlPr>
                <w:rPr>
                  <w:rFonts w:ascii="Cambria Math" w:hAnsi="Cambria Math" w:eastAsia="Times New Roman"/>
                  <w:sz w:val="24"/>
                </w:rPr>
              </m:ctrlPr>
            </m:sup>
          </m:sSubSup>
          <m:r>
            <m:rPr/>
            <w:rPr>
              <w:rFonts w:hint="default" w:ascii="Cambria Math" w:hAnsi="Cambria Math" w:eastAsia="Times New Roman"/>
              <w:sz w:val="24"/>
            </w:rPr>
            <m:t>(f)=min(</m:t>
          </m:r>
          <m:rad>
            <m:radPr>
              <m:degHide m:val="1"/>
              <m:ctrlPr>
                <w:rPr>
                  <w:rFonts w:hint="default" w:ascii="Cambria Math" w:hAnsi="Cambria Math" w:eastAsia="Times New Roman"/>
                  <w:sz w:val="24"/>
                </w:rPr>
              </m:ctrlPr>
            </m:radPr>
            <m:deg>
              <m:ctrlPr>
                <w:rPr>
                  <w:rFonts w:ascii="Cambria Math" w:hAnsi="Cambria Math" w:eastAsia="Times New Roman"/>
                  <w:sz w:val="24"/>
                </w:rPr>
              </m:ctrlPr>
            </m:deg>
            <m:e>
              <m:sSub>
                <m:sSubPr>
                  <m:ctrlPr>
                    <w:rPr>
                      <w:rFonts w:hint="default" w:ascii="Cambria Math" w:hAnsi="Cambria Math" w:eastAsia="Times New Roman"/>
                      <w:sz w:val="24"/>
                    </w:rPr>
                  </m:ctrlPr>
                </m:sSubPr>
                <m:e>
                  <m:r>
                    <m:rPr/>
                    <w:rPr>
                      <w:rFonts w:hint="default" w:ascii="Cambria Math" w:hAnsi="Cambria Math" w:eastAsia="Times New Roman"/>
                      <w:sz w:val="24"/>
                    </w:rPr>
                    <m:t>ρ</m:t>
                  </m:r>
                  <m:ctrlPr>
                    <w:rPr>
                      <w:rFonts w:ascii="Cambria Math" w:hAnsi="Cambria Math" w:eastAsia="Times New Roman"/>
                      <w:sz w:val="24"/>
                    </w:rPr>
                  </m:ctrlPr>
                </m:e>
                <m:sub>
                  <m:r>
                    <m:rPr/>
                    <w:rPr>
                      <w:rFonts w:hint="default" w:ascii="Cambria Math" w:hAnsi="Cambria Math" w:eastAsia="Times New Roman"/>
                      <w:sz w:val="24"/>
                    </w:rPr>
                    <m:t>f</m:t>
                  </m:r>
                  <m:ctrlPr>
                    <w:rPr>
                      <w:rFonts w:ascii="Cambria Math" w:hAnsi="Cambria Math" w:eastAsia="Times New Roman"/>
                      <w:sz w:val="24"/>
                    </w:rPr>
                  </m:ctrlPr>
                </m:sub>
              </m:sSub>
              <m:r>
                <m:rPr/>
                <w:rPr>
                  <w:rFonts w:hint="default" w:ascii="Cambria Math" w:hAnsi="Cambria Math" w:eastAsia="Times New Roman"/>
                  <w:sz w:val="24"/>
                </w:rPr>
                <m:t>⋅</m:t>
              </m:r>
              <m:sSub>
                <m:sSubPr>
                  <m:ctrlPr>
                    <w:rPr>
                      <w:rFonts w:hint="default" w:ascii="Cambria Math" w:hAnsi="Cambria Math" w:eastAsia="Times New Roman"/>
                      <w:sz w:val="24"/>
                    </w:rPr>
                  </m:ctrlPr>
                </m:sSubPr>
                <m:e>
                  <m:r>
                    <m:rPr/>
                    <w:rPr>
                      <w:rFonts w:hint="default" w:ascii="Cambria Math" w:hAnsi="Cambria Math" w:eastAsia="Times New Roman"/>
                      <w:sz w:val="24"/>
                    </w:rPr>
                    <m:t>r</m:t>
                  </m:r>
                  <m:ctrlPr>
                    <w:rPr>
                      <w:rFonts w:ascii="Cambria Math" w:hAnsi="Cambria Math" w:eastAsia="Times New Roman"/>
                      <w:sz w:val="24"/>
                    </w:rPr>
                  </m:ctrlPr>
                </m:e>
                <m:sub>
                  <m:r>
                    <m:rPr/>
                    <w:rPr>
                      <w:rFonts w:hint="default" w:ascii="Cambria Math" w:hAnsi="Cambria Math" w:eastAsia="Times New Roman"/>
                      <w:sz w:val="24"/>
                    </w:rPr>
                    <m:t>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Times New Roman"/>
                      <w:sz w:val="24"/>
                    </w:rPr>
                    <m:t>)</m:t>
                  </m:r>
                  <m:ctrlPr>
                    <w:rPr>
                      <w:rFonts w:ascii="Cambria Math" w:hAnsi="Cambria Math" w:eastAsia="Times New Roman"/>
                      <w:sz w:val="24"/>
                    </w:rPr>
                  </m:ctrlPr>
                </m:sub>
              </m:sSub>
              <m:ctrlPr>
                <w:rPr>
                  <w:rFonts w:hint="default" w:ascii="Cambria Math" w:hAnsi="Cambria Math" w:eastAsia="Times New Roman"/>
                  <w:sz w:val="24"/>
                </w:rPr>
              </m:ctrlPr>
            </m:e>
          </m:rad>
          <m:r>
            <m:rPr/>
            <w:rPr>
              <w:rFonts w:hint="default" w:ascii="Cambria Math" w:hAnsi="Cambria Math" w:eastAsia="Times New Roman"/>
              <w:sz w:val="24"/>
            </w:rPr>
            <m:t>,0.9)</m:t>
          </m:r>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m:t>
          </m:r>
          <m:r>
            <m:rPr>
              <m:nor/>
              <m:sty m:val="p"/>
            </m:rPr>
            <w:rPr>
              <w:rFonts w:hint="eastAsia" w:eastAsia="宋体" w:cs="Times New Roman"/>
              <w:b w:val="0"/>
              <w:i w:val="0"/>
              <w:sz w:val="24"/>
              <w:lang w:val="en-US" w:eastAsia="zh-CN"/>
            </w:rPr>
            <m:t>8</m:t>
          </m:r>
          <m:r>
            <m:rPr>
              <m:nor/>
              <m:sty m:val="p"/>
            </m:rPr>
            <w:rPr>
              <w:rFonts w:hint="default" w:ascii="Times New Roman" w:hAnsi="Times New Roman" w:eastAsia="宋体" w:cs="Times New Roman"/>
              <w:b w:val="0"/>
              <w:i w:val="0"/>
              <w:sz w:val="24"/>
              <w:lang w:val="en-US" w:eastAsia="zh-CN"/>
            </w:rPr>
            <m:t>)</m:t>
          </m:r>
        </m:oMath>
      </m:oMathPara>
    </w:p>
    <w:p w14:paraId="68C7F6FB">
      <w:pPr>
        <w:snapToGrid w:val="0"/>
        <w:spacing w:line="360" w:lineRule="auto"/>
        <w:ind w:firstLine="480" w:firstLineChars="200"/>
        <w:rPr>
          <w:rFonts w:hint="eastAsia" w:hAnsi="Cambria Math"/>
          <w:b w:val="0"/>
          <w:i w:val="0"/>
          <w:sz w:val="24"/>
          <w:lang w:val="en-US" w:eastAsia="zh-CN"/>
        </w:rPr>
      </w:pPr>
      <w:r>
        <w:rPr>
          <w:rFonts w:hint="eastAsia" w:hAnsi="Cambria Math"/>
          <w:b w:val="0"/>
          <w:i w:val="0"/>
          <w:sz w:val="24"/>
          <w:lang w:val="en-US" w:eastAsia="zh-CN"/>
        </w:rPr>
        <w:t>其中，</w:t>
      </w:r>
      <m:oMath>
        <m:sSub>
          <m:sSubPr>
            <m:ctrlPr>
              <w:rPr>
                <w:rFonts w:hint="default" w:ascii="Cambria Math" w:hAnsi="Cambria Math"/>
                <w:b w:val="0"/>
                <w:i w:val="0"/>
                <w:sz w:val="24"/>
              </w:rPr>
            </m:ctrlPr>
          </m:sSubPr>
          <m:e>
            <m:r>
              <m:rPr>
                <m:sty m:val="p"/>
              </m:rPr>
              <w:rPr>
                <w:rFonts w:hint="default" w:ascii="Cambria Math" w:hAnsi="Cambria Math"/>
                <w:sz w:val="24"/>
              </w:rPr>
              <m:t>y</m:t>
            </m:r>
            <m:ctrlPr>
              <w:rPr>
                <w:rFonts w:hint="eastAsia" w:ascii="Cambria Math" w:hAnsi="Cambria Math"/>
                <w:b w:val="0"/>
                <w:i w:val="0"/>
                <w:sz w:val="24"/>
              </w:rPr>
            </m:ctrlPr>
          </m:e>
          <m:sub>
            <m:r>
              <m:rPr>
                <m:sty m:val="p"/>
              </m:rPr>
              <w:rPr>
                <w:rFonts w:hint="default" w:ascii="Cambria Math" w:hAnsi="Cambria Math"/>
                <w:sz w:val="24"/>
              </w:rPr>
              <m:t>n</m:t>
            </m:r>
            <m:ctrlPr>
              <w:rPr>
                <w:rFonts w:hint="eastAsia" w:ascii="Cambria Math" w:hAnsi="Cambria Math"/>
                <w:b w:val="0"/>
                <w:i w:val="0"/>
                <w:sz w:val="24"/>
              </w:rPr>
            </m:ctrlPr>
          </m:sub>
        </m:sSub>
      </m:oMath>
      <w:r>
        <w:rPr>
          <w:rFonts w:hint="eastAsia" w:hAnsi="Cambria Math"/>
          <w:b w:val="0"/>
          <w:i w:val="0"/>
          <w:sz w:val="24"/>
          <w:lang w:val="en-US" w:eastAsia="zh-CN"/>
        </w:rPr>
        <w:t xml:space="preserve"> 表示节点 </w:t>
      </w:r>
      <m:oMath>
        <m:r>
          <m:rPr>
            <m:sty m:val="p"/>
          </m:rPr>
          <w:rPr>
            <w:rFonts w:hint="default" w:ascii="Cambria Math" w:hAnsi="Cambria Math"/>
            <w:sz w:val="24"/>
          </w:rPr>
          <m:t>n</m:t>
        </m:r>
      </m:oMath>
      <w:r>
        <w:rPr>
          <w:rFonts w:hint="eastAsia" w:hAnsi="Cambria Math"/>
          <w:b w:val="0"/>
          <w:i w:val="0"/>
          <w:sz w:val="24"/>
          <w:lang w:val="en-US" w:eastAsia="zh-CN"/>
        </w:rPr>
        <w:t xml:space="preserve"> 的亚型标签，</w:t>
      </w:r>
      <m:oMath>
        <m:r>
          <m:rPr>
            <m:sty m:val="p"/>
          </m:rPr>
          <w:rPr>
            <w:rFonts w:hint="default" w:ascii="Cambria Math" w:hAnsi="Cambria Math"/>
            <w:sz w:val="24"/>
          </w:rPr>
          <m:t>t(</m:t>
        </m:r>
        <m:sSub>
          <m:sSubPr>
            <m:ctrlPr>
              <w:rPr>
                <w:rFonts w:hint="default" w:ascii="Cambria Math" w:hAnsi="Cambria Math"/>
                <w:b w:val="0"/>
                <w:i w:val="0"/>
                <w:sz w:val="24"/>
              </w:rPr>
            </m:ctrlPr>
          </m:sSubPr>
          <m:e>
            <m:r>
              <m:rPr>
                <m:sty m:val="p"/>
              </m:rPr>
              <w:rPr>
                <w:rFonts w:hint="default" w:ascii="Cambria Math" w:hAnsi="Cambria Math"/>
                <w:sz w:val="24"/>
              </w:rPr>
              <m:t>y</m:t>
            </m:r>
            <m:ctrlPr>
              <w:rPr>
                <w:rFonts w:hint="eastAsia" w:ascii="Cambria Math" w:hAnsi="Cambria Math"/>
                <w:b w:val="0"/>
                <w:i w:val="0"/>
                <w:sz w:val="24"/>
              </w:rPr>
            </m:ctrlPr>
          </m:e>
          <m:sub>
            <m:r>
              <m:rPr>
                <m:sty m:val="p"/>
              </m:rPr>
              <w:rPr>
                <w:rFonts w:hint="default" w:ascii="Cambria Math" w:hAnsi="Cambria Math"/>
                <w:sz w:val="24"/>
              </w:rPr>
              <m:t>n</m:t>
            </m:r>
            <m:ctrlPr>
              <w:rPr>
                <w:rFonts w:hint="eastAsia" w:ascii="Cambria Math" w:hAnsi="Cambria Math"/>
                <w:b w:val="0"/>
                <w:i w:val="0"/>
                <w:sz w:val="24"/>
              </w:rPr>
            </m:ctrlPr>
          </m:sub>
        </m:sSub>
        <m:r>
          <m:rPr>
            <m:sty m:val="p"/>
          </m:rPr>
          <w:rPr>
            <w:rFonts w:hint="default" w:ascii="Cambria Math" w:hAnsi="Cambria Math"/>
            <w:sz w:val="24"/>
          </w:rPr>
          <m:t>)</m:t>
        </m:r>
      </m:oMath>
      <w:r>
        <w:rPr>
          <w:rFonts w:hint="eastAsia" w:hAnsi="Cambria Math"/>
          <w:b w:val="0"/>
          <w:i w:val="0"/>
          <w:sz w:val="24"/>
          <w:lang w:val="en-US" w:eastAsia="zh-CN"/>
        </w:rPr>
        <w:t xml:space="preserve"> 表示其所属的少数类、中间类或多数类分层，</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sub>
        </m:sSub>
        <m:r>
          <m:rPr/>
          <w:rPr>
            <w:rFonts w:hint="default" w:ascii="Cambria Math" w:hAnsi="Cambria Math"/>
            <w:sz w:val="24"/>
          </w:rPr>
          <m:t>∈[0,1]</m:t>
        </m:r>
      </m:oMath>
      <w:r>
        <w:rPr>
          <w:rFonts w:hint="eastAsia" w:hAnsi="Cambria Math"/>
          <w:b w:val="0"/>
          <w:i w:val="0"/>
          <w:sz w:val="24"/>
          <w:lang w:val="en-US" w:eastAsia="zh-CN"/>
        </w:rPr>
        <w:t xml:space="preserve"> 表示对应分层的组特异特征丢弃率。根据 </w:t>
      </w:r>
      <m:oMath>
        <m:sSubSup>
          <m:sSubSupPr>
            <m:ctrlPr>
              <w:rPr>
                <w:rFonts w:hint="default" w:ascii="Cambria Math" w:hAnsi="Cambria Math" w:eastAsia="宋体"/>
                <w:sz w:val="24"/>
              </w:rPr>
            </m:ctrlPr>
          </m:sSubSupPr>
          <m:e>
            <m:r>
              <m:rPr/>
              <w:rPr>
                <w:rFonts w:hint="default" w:ascii="Cambria Math" w:hAnsi="Cambria Math" w:eastAsia="宋体"/>
                <w:sz w:val="24"/>
              </w:rPr>
              <m:t>p</m:t>
            </m:r>
            <m:ctrlPr>
              <w:rPr>
                <w:rFonts w:ascii="Cambria Math" w:hAnsi="Cambria Math" w:eastAsia="宋体"/>
                <w:sz w:val="24"/>
              </w:rPr>
            </m:ctrlPr>
          </m:e>
          <m:sub>
            <m:r>
              <m:rPr>
                <m:sty m:val="p"/>
              </m:rPr>
              <w:rPr>
                <w:rFonts w:hint="default" w:ascii="Cambria Math" w:hAnsi="Cambria Math" w:eastAsia="宋体"/>
                <w:sz w:val="24"/>
              </w:rPr>
              <m:t>drop</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(f)</m:t>
        </m:r>
      </m:oMath>
      <w:r>
        <w:rPr>
          <w:rFonts w:hint="eastAsia" w:hAnsi="Cambria Math"/>
          <w:b w:val="0"/>
          <w:i w:val="0"/>
          <w:sz w:val="24"/>
          <w:lang w:val="en-US" w:eastAsia="zh-CN"/>
        </w:rPr>
        <w:t xml:space="preserve"> 采样伯努利掩码，得到增强后的特征矩阵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oMath>
      <w:r>
        <w:rPr>
          <w:rFonts w:hint="eastAsia" w:hAnsi="Cambria Math"/>
          <w:b w:val="0"/>
          <w:i w:val="0"/>
          <w:sz w:val="24"/>
          <w:lang w:val="en-US" w:eastAsia="zh-CN"/>
        </w:rPr>
        <w:t>。上界 0.9 用于避免所有特征信息被完全删除。</w:t>
      </w:r>
    </w:p>
    <w:bookmarkEnd w:id="6"/>
    <w:p w14:paraId="3681AB2F">
      <w:pPr>
        <w:pStyle w:val="4"/>
        <w:spacing w:before="120" w:after="120" w:line="300" w:lineRule="auto"/>
        <w:jc w:val="left"/>
        <w:rPr>
          <w:rFonts w:hint="eastAsia" w:ascii="宋体" w:hAnsi="宋体" w:eastAsia="宋体" w:cs="宋体"/>
          <w:b w:val="0"/>
          <w:bCs w:val="0"/>
          <w:sz w:val="24"/>
          <w:szCs w:val="24"/>
          <w:lang w:bidi="ar"/>
        </w:rPr>
      </w:pPr>
      <w:bookmarkStart w:id="7" w:name="OLE_LINK32"/>
      <w:bookmarkStart w:id="8" w:name="OLE_LINK36"/>
      <w:r>
        <w:rPr>
          <w:rFonts w:hint="eastAsia" w:ascii="宋体" w:hAnsi="宋体" w:eastAsia="宋体" w:cs="宋体"/>
          <w:b w:val="0"/>
          <w:bCs w:val="0"/>
          <w:sz w:val="24"/>
          <w:szCs w:val="24"/>
          <w:lang w:bidi="ar"/>
        </w:rPr>
        <w:t>3.1.2.2类别感知的拓扑增强</w:t>
      </w:r>
    </w:p>
    <w:p w14:paraId="75E6B846">
      <w:pPr>
        <w:snapToGrid w:val="0"/>
        <w:spacing w:line="360" w:lineRule="auto"/>
        <w:ind w:firstLine="480" w:firstLineChars="200"/>
        <w:rPr>
          <w:rFonts w:hint="eastAsia" w:ascii="Cambria Math" w:hAnsi="Cambria Math"/>
          <w:sz w:val="24"/>
        </w:rPr>
      </w:pPr>
      <w:r>
        <w:rPr>
          <w:rFonts w:hint="eastAsia" w:ascii="Cambria Math" w:hAnsi="Cambria Math"/>
          <w:sz w:val="24"/>
        </w:rPr>
        <w:t>类别感知的拓扑增强根据 TGS 提供的分层结果调整图连接关系和传播强度。具体来说，对少数类节点引入新边以扩展其邻域，对中间类和多数类节点删除弱连接以抑制冗余传播，并为得到的边分配组特异权重。</w:t>
      </w:r>
    </w:p>
    <w:p w14:paraId="36C5384B">
      <w:pPr>
        <w:snapToGrid w:val="0"/>
        <w:spacing w:line="360" w:lineRule="auto"/>
        <w:ind w:firstLine="480" w:firstLineChars="200"/>
        <w:rPr>
          <w:rFonts w:hint="eastAsia" w:ascii="Cambria Math" w:hAnsi="Cambria Math"/>
          <w:sz w:val="24"/>
        </w:rPr>
      </w:pPr>
      <w:r>
        <w:rPr>
          <w:rFonts w:hint="eastAsia" w:ascii="Cambria Math" w:hAnsi="Cambria Math"/>
          <w:sz w:val="24"/>
        </w:rPr>
        <w:t xml:space="preserve">对于每个少数类训练节点 </w:t>
      </w:r>
      <m:oMath>
        <m:r>
          <m:rPr/>
          <w:rPr>
            <w:rFonts w:hint="default" w:ascii="Cambria Math" w:hAnsi="Cambria Math"/>
            <w:sz w:val="24"/>
          </w:rPr>
          <m:t>n</m:t>
        </m:r>
      </m:oMath>
      <w:r>
        <w:rPr>
          <w:rFonts w:hint="eastAsia" w:ascii="Cambria Math" w:hAnsi="Cambria Math"/>
          <w:sz w:val="24"/>
        </w:rPr>
        <w:t xml:space="preserve">，候选节点从高中心性节点集合 </w:t>
      </w:r>
      <m:oMath>
        <m:r>
          <m:rPr>
            <m:scr m:val="script"/>
          </m:rPr>
          <w:rPr>
            <w:rFonts w:hint="default" w:ascii="Cambria Math" w:hAnsi="Cambria Math" w:eastAsia="MS Mincho"/>
            <w:sz w:val="24"/>
          </w:rPr>
          <m:t>ℋ</m:t>
        </m:r>
        <m:r>
          <m:rPr/>
          <w:rPr>
            <w:rFonts w:hint="default" w:ascii="Cambria Math" w:hAnsi="Cambria Math"/>
            <w:sz w:val="24"/>
          </w:rPr>
          <m:t>={j:PR(j)≥P</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75</m:t>
            </m:r>
            <m:ctrlPr>
              <w:rPr>
                <w:rFonts w:ascii="Cambria Math" w:hAnsi="Cambria Math"/>
                <w:sz w:val="24"/>
              </w:rPr>
            </m:ctrlPr>
          </m:sub>
        </m:sSub>
        <m:r>
          <m:rPr/>
          <w:rPr>
            <w:rFonts w:hint="default" w:ascii="Cambria Math" w:hAnsi="Cambria Math"/>
            <w:sz w:val="24"/>
          </w:rPr>
          <m:t>}</m:t>
        </m:r>
      </m:oMath>
      <w:r>
        <w:rPr>
          <w:rFonts w:hint="eastAsia" w:hAnsi="Cambria Math"/>
          <w:i w:val="0"/>
          <w:sz w:val="24"/>
          <w:lang w:val="en-US" w:eastAsia="zh-CN"/>
        </w:rPr>
        <w:t xml:space="preserve"> </w:t>
      </w:r>
      <w:r>
        <w:rPr>
          <w:rFonts w:hint="default" w:hAnsi="Cambria Math"/>
          <w:i w:val="0"/>
          <w:sz w:val="24"/>
        </w:rPr>
        <w:t>中选取，同时排除已有邻居和节点自身。每个候选节点根据特征相似性和结构中心性共同评分：</w:t>
      </w:r>
    </w:p>
    <w:p w14:paraId="3114EB4E">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m:rPr/>
        <w:rPr>
          <w:rFonts w:hint="default" w:hAnsi="Times New Roman" w:eastAsia="宋体" w:cs="Times New Roman"/>
          <w:b w:val="0"/>
          <w:i w:val="0"/>
          <w:sz w:val="24"/>
          <w:lang w:val="en-US" w:eastAsia="zh-CN"/>
        </w:rPr>
      </w:pPr>
      <m:oMathPara>
        <m:oMathParaPr>
          <m:jc m:val="right"/>
        </m:oMathParaPr>
        <m:oMath>
          <m:r>
            <m:rPr>
              <m:sty m:val="p"/>
            </m:rPr>
            <w:rPr>
              <w:rFonts w:hint="default" w:ascii="Cambria Math" w:hAnsi="Cambria Math"/>
              <w:sz w:val="24"/>
            </w:rPr>
            <m:t>score</m:t>
          </m:r>
          <m:r>
            <m:rPr/>
            <w:rPr>
              <w:rFonts w:hint="default" w:ascii="Cambria Math" w:hAnsi="Cambria Math"/>
              <w:sz w:val="24"/>
            </w:rPr>
            <m:t>(n,j)=λ⋅sim(</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)+(1−λ)⋅</m:t>
          </m:r>
          <m:acc>
            <m:accPr>
              <m:chr m:val="̃"/>
              <m:ctrlPr>
                <w:rPr>
                  <w:rFonts w:hint="default" w:ascii="Cambria Math" w:hAnsi="Cambria Math"/>
                  <w:sz w:val="24"/>
                </w:rPr>
              </m:ctrlPr>
            </m:accPr>
            <m:e>
              <m:r>
                <m:rPr/>
                <w:rPr>
                  <w:rFonts w:hint="default" w:ascii="Cambria Math" w:hAnsi="Cambria Math"/>
                  <w:sz w:val="24"/>
                </w:rPr>
                <m:t>PR</m:t>
              </m:r>
              <m:ctrlPr>
                <w:rPr>
                  <w:rFonts w:ascii="Cambria Math" w:hAnsi="Cambria Math"/>
                  <w:sz w:val="24"/>
                </w:rPr>
              </m:ctrlPr>
            </m:e>
          </m:acc>
          <m:r>
            <m:rPr/>
            <w:rPr>
              <w:rFonts w:hint="default" w:ascii="Cambria Math" w:hAnsi="Cambria Math"/>
              <w:sz w:val="24"/>
            </w:rPr>
            <m:t>(j)</m:t>
          </m:r>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m:t>
          </m:r>
          <m:r>
            <m:rPr>
              <m:nor/>
              <m:sty m:val="p"/>
            </m:rPr>
            <w:rPr>
              <w:rFonts w:hint="eastAsia" w:eastAsia="宋体" w:cs="Times New Roman"/>
              <w:b w:val="0"/>
              <w:i w:val="0"/>
              <w:sz w:val="24"/>
              <w:lang w:val="en-US" w:eastAsia="zh-CN"/>
            </w:rPr>
            <m:t>9</m:t>
          </m:r>
          <m:r>
            <m:rPr>
              <m:nor/>
              <m:sty m:val="p"/>
            </m:rPr>
            <w:rPr>
              <w:rFonts w:hint="default" w:ascii="Times New Roman" w:hAnsi="Times New Roman" w:eastAsia="宋体" w:cs="Times New Roman"/>
              <w:b w:val="0"/>
              <w:i w:val="0"/>
              <w:sz w:val="24"/>
              <w:lang w:val="en-US" w:eastAsia="zh-CN"/>
            </w:rPr>
            <m:t>)</m:t>
          </m:r>
        </m:oMath>
      </m:oMathPara>
    </w:p>
    <w:p w14:paraId="10A8B9F1">
      <w:pPr>
        <w:snapToGrid w:val="0"/>
        <w:spacing w:line="360" w:lineRule="auto"/>
        <w:ind w:firstLine="480" w:firstLineChars="200"/>
        <w:rPr>
          <w:rFonts w:hint="eastAsia" w:ascii="Cambria Math" w:hAnsi="Cambria Math"/>
          <w:sz w:val="24"/>
        </w:rPr>
      </w:pPr>
      <w:r>
        <m:rPr/>
        <w:rPr>
          <w:rFonts w:hint="default" w:ascii="Cambria Math" w:hAnsi="Cambria Math"/>
          <w:sz w:val="24"/>
          <w:lang w:val="en-US" w:eastAsia="zh-CN"/>
        </w:rPr>
        <w:t>其中，</w:t>
      </w:r>
      <m:oMath>
        <m:acc>
          <m:accPr>
            <m:chr m:val="̃"/>
            <m:ctrlPr>
              <w:rPr>
                <w:rFonts w:hint="default" w:ascii="Cambria Math" w:hAnsi="Cambria Math"/>
                <w:sz w:val="24"/>
              </w:rPr>
            </m:ctrlPr>
          </m:accPr>
          <m:e>
            <m:r>
              <m:rPr/>
              <w:rPr>
                <w:rFonts w:hint="default" w:ascii="Cambria Math" w:hAnsi="Cambria Math"/>
                <w:sz w:val="24"/>
              </w:rPr>
              <m:t>PR</m:t>
            </m:r>
            <m:ctrlPr>
              <w:rPr>
                <w:rFonts w:ascii="Cambria Math" w:hAnsi="Cambria Math"/>
                <w:sz w:val="24"/>
              </w:rPr>
            </m:ctrlPr>
          </m:e>
        </m:acc>
        <m:r>
          <m:rPr/>
          <w:rPr>
            <w:rFonts w:hint="default" w:ascii="Cambria Math" w:hAnsi="Cambria Math"/>
            <w:sz w:val="24"/>
          </w:rPr>
          <m:t>(j)=PR(j)/P</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max</m:t>
            </m:r>
            <m:ctrlPr>
              <w:rPr>
                <w:rFonts w:ascii="Cambria Math" w:hAnsi="Cambria Math"/>
                <w:sz w:val="24"/>
              </w:rPr>
            </m:ctrlPr>
          </m:sub>
        </m:sSub>
      </m:oMath>
      <w:r>
        <m:rPr/>
        <w:rPr>
          <w:rFonts w:hint="default" w:ascii="Cambria Math" w:hAnsi="Cambria Math"/>
          <w:sz w:val="24"/>
          <w:lang w:val="en-US" w:eastAsia="zh-CN"/>
        </w:rPr>
        <w:t>，</w:t>
      </w:r>
      <m:oMath>
        <m:r>
          <m:rPr/>
          <w:rPr>
            <w:rFonts w:hint="default" w:ascii="Cambria Math" w:hAnsi="Cambria Math"/>
            <w:sz w:val="24"/>
          </w:rPr>
          <m:t>λ∈[0,1]</m:t>
        </m:r>
      </m:oMath>
      <w:r>
        <m:rPr/>
        <w:rPr>
          <w:rFonts w:hint="default" w:ascii="Cambria Math" w:hAnsi="Cambria Math"/>
          <w:sz w:val="24"/>
          <w:lang w:val="en-US" w:eastAsia="zh-CN"/>
        </w:rPr>
        <w:t xml:space="preserve"> 用于平衡两个部分，</w:t>
      </w:r>
      <m:oMath>
        <m:r>
          <m:rPr/>
          <w:rPr>
            <w:rFonts w:hint="default" w:ascii="Cambria Math" w:hAnsi="Cambria Math"/>
            <w:sz w:val="24"/>
          </w:rPr>
          <m:t>P</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max</m:t>
            </m:r>
            <m:ctrlPr>
              <w:rPr>
                <w:rFonts w:ascii="Cambria Math" w:hAnsi="Cambria Math"/>
                <w:sz w:val="24"/>
              </w:rPr>
            </m:ctrlPr>
          </m:sub>
        </m:sSub>
      </m:oMath>
      <w:r>
        <m:rPr/>
        <w:rPr>
          <w:rFonts w:hint="default" w:ascii="Cambria Math" w:hAnsi="Cambria Math"/>
          <w:sz w:val="24"/>
          <w:lang w:val="en-US" w:eastAsia="zh-CN"/>
        </w:rPr>
        <w:t xml:space="preserve"> 表示最大的 PageRank 得分。</w:t>
      </w:r>
    </w:p>
    <w:p w14:paraId="3F7D3AF7">
      <w:pPr>
        <w:snapToGrid w:val="0"/>
        <w:spacing w:line="360" w:lineRule="auto"/>
        <w:ind w:firstLine="480" w:firstLineChars="200"/>
        <w:rPr>
          <w:rFonts w:hint="eastAsia" w:ascii="Cambria Math" w:hAnsi="Cambria Math"/>
          <w:sz w:val="24"/>
        </w:rPr>
      </w:pPr>
      <w:r>
        <w:rPr>
          <w:rFonts w:hint="eastAsia" w:ascii="Cambria Math" w:hAnsi="Cambria Math"/>
          <w:sz w:val="24"/>
        </w:rPr>
        <w:t xml:space="preserve">为了进一步调节信息传播，每条边被赋予其两端节点中优先级更高的类别，优先级顺序为 minority &gt; intermediate &gt; majority。边 </w:t>
      </w:r>
      <m:oMath>
        <m:r>
          <m:rPr/>
          <w:rPr>
            <w:rFonts w:hint="default" w:ascii="Cambria Math" w:hAnsi="Cambria Math"/>
            <w:sz w:val="24"/>
          </w:rPr>
          <m:t>(n,j)</m:t>
        </m:r>
      </m:oMath>
      <w:r>
        <w:rPr>
          <w:rFonts w:hint="eastAsia" w:ascii="Cambria Math" w:hAnsi="Cambria Math"/>
          <w:sz w:val="24"/>
        </w:rPr>
        <w:t xml:space="preserve"> 的结构质量定义为：</w:t>
      </w:r>
    </w:p>
    <w:p w14:paraId="1DEE7E68">
      <w:pPr>
        <w:keepNext w:val="0"/>
        <w:keepLines w:val="0"/>
        <w:pageBreakBefore w:val="0"/>
        <w:widowControl w:val="0"/>
        <w:kinsoku/>
        <w:wordWrap/>
        <w:overflowPunct/>
        <w:topLinePunct w:val="0"/>
        <w:autoSpaceDE/>
        <w:autoSpaceDN/>
        <w:bidi w:val="0"/>
        <w:adjustRightInd w:val="0"/>
        <w:snapToGrid w:val="0"/>
        <w:spacing w:before="120"/>
        <w:ind w:firstLine="480" w:firstLineChars="200"/>
        <w:jc w:val="both"/>
        <w:textAlignment w:val="auto"/>
        <w:rPr>
          <w:rFonts w:hint="eastAsia" w:ascii="Cambria Math" w:hAnsi="Cambria Math"/>
          <w:sz w:val="24"/>
        </w:rPr>
      </w:pPr>
      <m:oMathPara>
        <m:oMathParaPr>
          <m:jc m:val="right"/>
        </m:oMathParaPr>
        <m:oMath>
          <m:r>
            <m:rPr/>
            <w:rPr>
              <w:rFonts w:hint="default" w:ascii="Cambria Math" w:hAnsi="Cambria Math" w:eastAsia="宋体"/>
              <w:sz w:val="24"/>
            </w:rPr>
            <m:t>q(n,j)=</m:t>
          </m:r>
          <m:f>
            <m:fPr>
              <m:ctrlPr>
                <w:rPr>
                  <w:rFonts w:hint="default" w:ascii="Cambria Math" w:hAnsi="Cambria Math" w:eastAsia="宋体"/>
                  <w:sz w:val="24"/>
                </w:rPr>
              </m:ctrlPr>
            </m:fPr>
            <m:num>
              <m:r>
                <m:rPr/>
                <w:rPr>
                  <w:rFonts w:hint="default" w:ascii="Cambria Math" w:hAnsi="Cambria Math" w:eastAsia="宋体"/>
                  <w:sz w:val="24"/>
                </w:rPr>
                <m:t>PR(n)+PR(j)</m:t>
              </m:r>
              <m:ctrlPr>
                <w:rPr>
                  <w:rFonts w:ascii="Cambria Math" w:hAnsi="Cambria Math" w:eastAsia="宋体"/>
                  <w:sz w:val="24"/>
                </w:rPr>
              </m:ctrlPr>
            </m:num>
            <m:den>
              <m:r>
                <m:rPr/>
                <w:rPr>
                  <w:rFonts w:hint="default" w:ascii="Cambria Math" w:hAnsi="Cambria Math" w:eastAsia="宋体"/>
                  <w:sz w:val="24"/>
                </w:rPr>
                <m:t>2P</m:t>
              </m:r>
              <m:sSub>
                <m:sSubPr>
                  <m:ctrlPr>
                    <w:rPr>
                      <w:rFonts w:hint="default" w:ascii="Cambria Math" w:hAnsi="Cambria Math" w:eastAsia="宋体"/>
                      <w:sz w:val="24"/>
                    </w:rPr>
                  </m:ctrlPr>
                </m:sSubPr>
                <m:e>
                  <m:r>
                    <m:rPr/>
                    <w:rPr>
                      <w:rFonts w:hint="default" w:ascii="Cambria Math" w:hAnsi="Cambria Math" w:eastAsia="宋体"/>
                      <w:sz w:val="24"/>
                    </w:rPr>
                    <m:t>R</m:t>
                  </m:r>
                  <m:ctrlPr>
                    <w:rPr>
                      <w:rFonts w:ascii="Cambria Math" w:hAnsi="Cambria Math" w:eastAsia="宋体"/>
                      <w:sz w:val="24"/>
                    </w:rPr>
                  </m:ctrlPr>
                </m:e>
                <m:sub>
                  <m:r>
                    <m:rPr/>
                    <w:rPr>
                      <w:rFonts w:hint="default" w:ascii="Cambria Math" w:hAnsi="Cambria Math" w:eastAsia="宋体"/>
                      <w:sz w:val="24"/>
                    </w:rPr>
                    <m:t>max</m:t>
                  </m:r>
                  <m:ctrlPr>
                    <w:rPr>
                      <w:rFonts w:ascii="Cambria Math" w:hAnsi="Cambria Math" w:eastAsia="宋体"/>
                      <w:sz w:val="24"/>
                    </w:rPr>
                  </m:ctrlPr>
                </m:sub>
              </m:sSub>
              <m:ctrlPr>
                <w:rPr>
                  <w:rFonts w:hint="default" w:ascii="Cambria Math" w:hAnsi="Cambria Math" w:eastAsia="宋体"/>
                  <w:sz w:val="24"/>
                </w:rPr>
              </m:ctrlPr>
            </m:den>
          </m:f>
          <m:r>
            <m:rPr>
              <m:nor/>
              <m:sty m:val="p"/>
            </m:rPr>
            <w:rPr>
              <w:rFonts w:hint="default" w:ascii="Cambria Math" w:hAnsi="Cambria Math" w:eastAsia="宋体"/>
              <w:b w:val="0"/>
              <w:i w:val="0"/>
              <w:sz w:val="24"/>
              <w:lang w:val="en-US" w:eastAsia="zh-CN"/>
            </w:rPr>
            <m:t xml:space="preserve">                                                           </m:t>
          </m:r>
          <m:r>
            <m:rPr>
              <m:nor/>
              <m:sty m:val="p"/>
            </m:rPr>
            <w:rPr>
              <w:rFonts w:hint="default" w:ascii="Times New Roman" w:hAnsi="Times New Roman" w:eastAsia="宋体" w:cs="Times New Roman"/>
              <w:b w:val="0"/>
              <w:i w:val="0"/>
              <w:sz w:val="24"/>
              <w:lang w:val="en-US" w:eastAsia="zh-CN"/>
            </w:rPr>
            <m:t>(11)</m:t>
          </m:r>
        </m:oMath>
      </m:oMathPara>
    </w:p>
    <w:p w14:paraId="123EB8FC">
      <w:pPr>
        <w:snapToGrid w:val="0"/>
        <w:spacing w:line="360" w:lineRule="auto"/>
        <w:ind w:firstLine="480" w:firstLineChars="200"/>
        <w:rPr>
          <w:rFonts w:hint="eastAsia" w:ascii="Cambria Math" w:hAnsi="Cambria Math"/>
          <w:sz w:val="24"/>
        </w:rPr>
      </w:pPr>
      <w:r>
        <w:rPr>
          <w:rFonts w:hint="eastAsia" w:ascii="Cambria Math" w:hAnsi="Cambria Math"/>
          <w:sz w:val="24"/>
        </w:rPr>
        <w:t>最终边权计算为：</w:t>
      </w:r>
    </w:p>
    <w:p w14:paraId="4253F89B">
      <w:pPr>
        <w:keepNext w:val="0"/>
        <w:keepLines w:val="0"/>
        <w:pageBreakBefore w:val="0"/>
        <w:widowControl w:val="0"/>
        <w:kinsoku/>
        <w:wordWrap/>
        <w:overflowPunct/>
        <w:topLinePunct w:val="0"/>
        <w:autoSpaceDE/>
        <w:autoSpaceDN/>
        <w:bidi w:val="0"/>
        <w:adjustRightInd w:val="0"/>
        <w:snapToGrid w:val="0"/>
        <w:spacing w:before="120"/>
        <w:ind w:firstLine="480" w:firstLineChars="200"/>
        <w:jc w:val="both"/>
        <w:textAlignment w:val="auto"/>
        <w:rPr>
          <w:rFonts w:hint="default" w:hAnsi="Cambria Math" w:eastAsia="宋体"/>
          <w:i w:val="0"/>
          <w:sz w:val="24"/>
          <w:lang w:val="en-US" w:eastAsia="zh-CN"/>
        </w:rPr>
      </w:pPr>
      <m:oMathPara>
        <m:oMathParaPr>
          <m:jc m:val="right"/>
        </m:oMathParaPr>
        <m:oMath>
          <m:r>
            <m:rPr/>
            <w:rPr>
              <w:rFonts w:hint="default" w:ascii="Cambria Math" w:hAnsi="Cambria Math" w:eastAsia="宋体"/>
              <w:sz w:val="24"/>
            </w:rPr>
            <m:t>w(</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nj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d>
            <m:dPr>
              <m:ctrlPr>
                <w:rPr>
                  <w:rFonts w:hint="default" w:ascii="Cambria Math" w:hAnsi="Cambria Math" w:eastAsia="宋体"/>
                  <w:sz w:val="24"/>
                </w:rPr>
              </m:ctrlPr>
            </m:dPr>
            <m:e>
              <m:r>
                <m:rPr/>
                <w:rPr>
                  <w:rFonts w:hint="default" w:ascii="Cambria Math" w:hAnsi="Cambria Math" w:eastAsia="宋体"/>
                  <w:sz w:val="24"/>
                </w:rPr>
                <m:t>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nj</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e>
          </m:d>
          <m:r>
            <m:rPr/>
            <w:rPr>
              <w:rFonts w:hint="default" w:ascii="Cambria Math" w:hAnsi="Cambria Math" w:eastAsia="宋体"/>
              <w:sz w:val="24"/>
            </w:rPr>
            <m:t>κ(</m:t>
          </m:r>
          <m:sSub>
            <m:sSubPr>
              <m:ctrlPr>
                <w:rPr>
                  <w:rFonts w:hint="default" w:ascii="Cambria Math" w:hAnsi="Cambria Math" w:eastAsia="宋体"/>
                  <w:sz w:val="24"/>
                </w:rPr>
              </m:ctrlPr>
            </m:sSubPr>
            <m:e>
              <m:r>
                <m:rPr/>
                <w:rPr>
                  <w:rFonts w:hint="default" w:ascii="Cambria Math" w:hAnsi="Cambria Math" w:eastAsia="宋体"/>
                  <w:sz w:val="24"/>
                </w:rPr>
                <m:t>e</m:t>
              </m:r>
              <m:ctrlPr>
                <w:rPr>
                  <w:rFonts w:hint="default" w:ascii="Cambria Math" w:hAnsi="Cambria Math" w:eastAsia="宋体"/>
                  <w:sz w:val="24"/>
                </w:rPr>
              </m:ctrlPr>
            </m:e>
            <m:sub>
              <m:r>
                <m:rPr/>
                <w:rPr>
                  <w:rFonts w:hint="default" w:ascii="Cambria Math" w:hAnsi="Cambria Math" w:eastAsia="宋体"/>
                  <w:sz w:val="24"/>
                </w:rPr>
                <m:t>nj</m:t>
              </m:r>
              <m:ctrlPr>
                <w:rPr>
                  <w:rFonts w:hint="default"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sz w:val="24"/>
                </w:rPr>
              </m:ctrlPr>
            </m:dPr>
            <m:e>
              <m:r>
                <m:rPr/>
                <w:rPr>
                  <w:rFonts w:hint="default" w:ascii="Cambria Math" w:hAnsi="Cambria Math" w:eastAsia="宋体"/>
                  <w:sz w:val="24"/>
                </w:rPr>
                <m:t>1+γq(n,j)</m:t>
              </m:r>
              <m:ctrlPr>
                <w:rPr>
                  <w:rFonts w:hint="default" w:ascii="Cambria Math" w:hAnsi="Cambria Math" w:eastAsia="宋体"/>
                  <w:sz w:val="24"/>
                </w:rPr>
              </m:ctrlPr>
            </m:e>
          </m:d>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(12)</m:t>
          </m:r>
        </m:oMath>
      </m:oMathPara>
    </w:p>
    <w:p w14:paraId="73958921">
      <w:pPr>
        <w:snapToGrid w:val="0"/>
        <w:spacing w:line="360" w:lineRule="auto"/>
        <w:ind w:firstLine="480" w:firstLineChars="200"/>
        <w:rPr>
          <w:rFonts w:hint="eastAsia" w:ascii="Cambria Math" w:hAnsi="Cambria Math"/>
          <w:sz w:val="24"/>
        </w:rPr>
      </w:pPr>
      <w:r>
        <w:rPr>
          <w:rFonts w:hint="eastAsia" w:ascii="Cambria Math" w:hAnsi="Cambria Math"/>
          <w:sz w:val="24"/>
        </w:rPr>
        <w:t>其中，</w:t>
      </w:r>
      <m:oMath>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oMath>
      <w:r>
        <w:rPr>
          <w:rFonts w:hint="eastAsia" w:ascii="Cambria Math" w:hAnsi="Cambria Math"/>
          <w:sz w:val="24"/>
        </w:rPr>
        <w:t xml:space="preserve"> 表示组特异基础权重，并满足 </w:t>
      </w:r>
      <m:oMath>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minority</m:t>
        </m:r>
        <m:r>
          <m:rPr/>
          <w:rPr>
            <w:rFonts w:hint="default" w:ascii="Cambria Math" w:hAnsi="Cambria Math" w:eastAsia="宋体"/>
            <w:sz w:val="24"/>
          </w:rPr>
          <m:t>)&gt;</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intermediate</m:t>
        </m:r>
        <m:r>
          <m:rPr/>
          <w:rPr>
            <w:rFonts w:hint="default" w:ascii="Cambria Math" w:hAnsi="Cambria Math" w:eastAsia="宋体"/>
            <w:sz w:val="24"/>
          </w:rPr>
          <m:t>)&gt;</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majority</m:t>
        </m:r>
        <m:r>
          <m:rPr/>
          <w:rPr>
            <w:rFonts w:hint="default" w:ascii="Cambria Math" w:hAnsi="Cambria Math" w:eastAsia="宋体"/>
            <w:sz w:val="24"/>
          </w:rPr>
          <m:t>)=1</m:t>
        </m:r>
      </m:oMath>
      <w:r>
        <w:rPr>
          <w:rFonts w:hint="eastAsia" w:ascii="Cambria Math" w:hAnsi="Cambria Math"/>
          <w:sz w:val="24"/>
        </w:rPr>
        <w:t xml:space="preserve">。当 </w:t>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hint="eastAsia" w:ascii="Cambria Math" w:hAnsi="Cambria Math"/>
          <w:sz w:val="24"/>
        </w:rPr>
        <w:t xml:space="preserve"> 时，亚型一致性因子设为 </w:t>
      </w:r>
      <m:oMath>
        <m:r>
          <m:rPr/>
          <w:rPr>
            <w:rFonts w:hint="default" w:ascii="Cambria Math" w:hAnsi="Cambria Math"/>
            <w:sz w:val="24"/>
          </w:rPr>
          <m:t>κ(</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nj</m:t>
            </m:r>
            <m:ctrlPr>
              <w:rPr>
                <w:rFonts w:ascii="Cambria Math" w:hAnsi="Cambria Math"/>
                <w:sz w:val="24"/>
              </w:rPr>
            </m:ctrlPr>
          </m:sub>
        </m:sSub>
        <m:r>
          <m:rPr/>
          <w:rPr>
            <w:rFonts w:hint="default" w:ascii="Cambria Math" w:hAnsi="Cambria Math"/>
            <w:sz w:val="24"/>
          </w:rPr>
          <m:t>)=κ&gt;</m:t>
        </m:r>
      </m:oMath>
      <w:r>
        <w:rPr>
          <w:rFonts w:hint="eastAsia" w:ascii="Cambria Math" w:hAnsi="Cambria Math"/>
          <w:sz w:val="24"/>
        </w:rPr>
        <w:t xml:space="preserve">1；否则 </w:t>
      </w:r>
      <m:oMath>
        <m:r>
          <m:rPr/>
          <w:rPr>
            <w:rFonts w:hint="default" w:ascii="Cambria Math" w:hAnsi="Cambria Math"/>
            <w:sz w:val="24"/>
          </w:rPr>
          <m:t>κ(</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nj</m:t>
            </m:r>
            <m:ctrlPr>
              <w:rPr>
                <w:rFonts w:ascii="Cambria Math" w:hAnsi="Cambria Math"/>
                <w:sz w:val="24"/>
              </w:rPr>
            </m:ctrlPr>
          </m:sub>
        </m:sSub>
        <m:r>
          <m:rPr/>
          <w:rPr>
            <w:rFonts w:hint="default" w:ascii="Cambria Math" w:hAnsi="Cambria Math"/>
            <w:sz w:val="24"/>
          </w:rPr>
          <m:t>)=1</m:t>
        </m:r>
      </m:oMath>
      <w:r>
        <w:rPr>
          <w:rFonts w:hint="eastAsia" w:ascii="Cambria Math" w:hAnsi="Cambria Math"/>
          <w:sz w:val="24"/>
        </w:rPr>
        <w:t xml:space="preserve">。参数 </w:t>
      </w:r>
      <m:oMath>
        <m:r>
          <m:rPr/>
          <w:rPr>
            <w:rFonts w:hint="default" w:ascii="Cambria Math" w:hAnsi="Cambria Math"/>
            <w:sz w:val="24"/>
          </w:rPr>
          <m:t>γ</m:t>
        </m:r>
      </m:oMath>
      <w:r>
        <w:rPr>
          <w:rFonts w:hint="eastAsia" w:ascii="Cambria Math" w:hAnsi="Cambria Math"/>
          <w:sz w:val="24"/>
        </w:rPr>
        <w:t xml:space="preserve"> 用于控制结构质量的影响。所有边权被限制在 [0.5,5.0] 范围内。结合特征增强，该过程为每一种组学模态得到增强图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A</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r>
          <m:rPr/>
          <w:rPr>
            <w:rFonts w:hint="default" w:ascii="Cambria Math" w:hAnsi="Cambria Math"/>
            <w:sz w:val="24"/>
          </w:rPr>
          <m:t>)</m:t>
        </m:r>
      </m:oMath>
      <w:r>
        <w:rPr>
          <w:rFonts w:hint="eastAsia" w:ascii="Cambria Math" w:hAnsi="Cambria Math"/>
          <w:sz w:val="24"/>
        </w:rPr>
        <w:t>。</w:t>
      </w:r>
    </w:p>
    <w:p w14:paraId="02DCFA65">
      <w:pPr>
        <w:keepNext/>
        <w:keepLines/>
        <w:spacing w:before="120" w:after="120" w:line="300" w:lineRule="auto"/>
        <w:outlineLvl w:val="2"/>
        <w:rPr>
          <w:rFonts w:hint="eastAsia" w:ascii="宋体" w:hAnsi="宋体"/>
          <w:b/>
          <w:bCs/>
          <w:sz w:val="28"/>
          <w:szCs w:val="28"/>
        </w:rPr>
      </w:pPr>
      <w:r>
        <w:rPr>
          <w:rFonts w:ascii="宋体" w:hAnsi="宋体"/>
          <w:b/>
          <w:bCs/>
          <w:sz w:val="28"/>
          <w:szCs w:val="28"/>
        </w:rPr>
        <w:t>3.1.</w:t>
      </w:r>
      <w:r>
        <w:rPr>
          <w:rFonts w:hint="eastAsia" w:ascii="宋体" w:hAnsi="宋体"/>
          <w:b/>
          <w:bCs/>
          <w:sz w:val="28"/>
          <w:szCs w:val="28"/>
        </w:rPr>
        <w:t>3对比融合分类模块</w:t>
      </w:r>
    </w:p>
    <w:p w14:paraId="2C85333C">
      <w:pPr>
        <w:snapToGrid w:val="0"/>
        <w:spacing w:line="360" w:lineRule="auto"/>
        <w:ind w:firstLine="480" w:firstLineChars="200"/>
        <w:rPr>
          <w:rFonts w:hint="eastAsia" w:ascii="Cambria Math" w:hAnsi="Cambria Math"/>
          <w:sz w:val="24"/>
        </w:rPr>
      </w:pPr>
      <w:r>
        <w:rPr>
          <w:rFonts w:hint="eastAsia" w:ascii="Cambria Math" w:hAnsi="Cambria Math"/>
          <w:sz w:val="24"/>
        </w:rPr>
        <w:t xml:space="preserve">对比融合分类模块以原始图集合 </w:t>
      </w:r>
      <m:oMath>
        <m:r>
          <m:rPr>
            <m:scr m:val="script"/>
          </m:rPr>
          <w:rPr>
            <w:rFonts w:hint="default" w:ascii="Cambria Math" w:hAnsi="Cambria Math" w:eastAsia="MS Mincho"/>
            <w:sz w:val="24"/>
          </w:rPr>
          <m:t>G</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m:t>
        </m:r>
      </m:oMath>
      <w:r>
        <w:rPr>
          <w:rFonts w:hint="eastAsia" w:ascii="Cambria Math" w:hAnsi="Cambria Math"/>
          <w:sz w:val="24"/>
        </w:rPr>
        <w:t xml:space="preserve"> 和增强图集合 </w:t>
      </w:r>
      <m:oMath>
        <m:acc>
          <m:accPr>
            <m:ctrlPr>
              <w:rPr>
                <w:rFonts w:hint="default" w:ascii="Cambria Math" w:hAnsi="Cambria Math"/>
                <w:sz w:val="24"/>
              </w:rPr>
            </m:ctrlPr>
          </m:accPr>
          <m:e>
            <m:r>
              <m:rPr>
                <m:scr m:val="script"/>
              </m:rPr>
              <w:rPr>
                <w:rFonts w:hint="default" w:ascii="Cambria Math" w:hAnsi="Cambria Math" w:eastAsia="MS Mincho"/>
                <w:sz w:val="24"/>
              </w:rPr>
              <m:t>G</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1</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r>
          <m:rPr/>
          <w:rPr>
            <w:rFonts w:hint="default" w:ascii="Cambria Math" w:hAnsi="Cambria Math"/>
            <w:sz w:val="24"/>
          </w:rPr>
          <m:t>}</m:t>
        </m:r>
      </m:oMath>
      <w:r>
        <w:rPr>
          <w:rFonts w:hint="default"/>
          <w:lang w:val="en-US" w:eastAsia="zh-CN"/>
        </w:rPr>
        <w:t xml:space="preserve"> </w:t>
      </w:r>
      <w:r>
        <w:rPr>
          <w:rFonts w:hint="eastAsia" w:ascii="Cambria Math" w:hAnsi="Cambria Math"/>
          <w:sz w:val="24"/>
        </w:rPr>
        <w:t>为输入。该模块首先从两种图视图中提取模态特异表示，再通过对比学习对齐原始视图和增强视图下的患者表示，最后通过节点级自注意力机制整合互补的多组学信息并进行亚型分类。</w:t>
      </w:r>
    </w:p>
    <w:p w14:paraId="1A69C788">
      <w:pPr>
        <w:pStyle w:val="4"/>
        <w:spacing w:before="120" w:after="120" w:line="300" w:lineRule="auto"/>
        <w:jc w:val="left"/>
        <w:rPr>
          <w:rFonts w:hint="eastAsia" w:ascii="宋体" w:hAnsi="宋体" w:eastAsia="宋体" w:cs="宋体"/>
          <w:b w:val="0"/>
          <w:bCs w:val="0"/>
          <w:sz w:val="24"/>
          <w:szCs w:val="24"/>
          <w:lang w:bidi="ar"/>
        </w:rPr>
      </w:pPr>
      <w:bookmarkStart w:id="9" w:name="_Hlk201755737"/>
      <w:r>
        <w:rPr>
          <w:rFonts w:hint="eastAsia" w:ascii="宋体" w:hAnsi="宋体" w:eastAsia="宋体" w:cs="宋体"/>
          <w:b w:val="0"/>
          <w:bCs w:val="0"/>
          <w:sz w:val="24"/>
          <w:szCs w:val="24"/>
          <w:lang w:bidi="ar"/>
        </w:rPr>
        <w:t>3.1.3.1对比表示学习</w:t>
      </w:r>
    </w:p>
    <w:bookmarkEnd w:id="9"/>
    <w:p w14:paraId="6971DF92">
      <w:pPr>
        <w:snapToGrid w:val="0"/>
        <w:spacing w:line="360" w:lineRule="auto"/>
        <w:ind w:firstLine="480" w:firstLineChars="200"/>
        <w:rPr>
          <w:rFonts w:hint="eastAsia" w:ascii="Cambria Math" w:hAnsi="Cambria Math" w:eastAsia="宋体"/>
          <w:sz w:val="24"/>
          <w:lang w:val="en-US" w:eastAsia="zh-CN"/>
        </w:rPr>
      </w:pPr>
      <w:r>
        <w:rPr>
          <w:rFonts w:hint="eastAsia" w:ascii="Cambria Math" w:hAnsi="Cambria Math"/>
          <w:sz w:val="24"/>
        </w:rPr>
        <w:t xml:space="preserve">对于第 </w:t>
      </w:r>
      <m:oMath>
        <m:r>
          <m:rPr/>
          <w:rPr>
            <w:rFonts w:hint="default" w:ascii="Cambria Math" w:hAnsi="Cambria Math"/>
            <w:sz w:val="24"/>
          </w:rPr>
          <m:t>v</m:t>
        </m:r>
      </m:oMath>
      <w:r>
        <w:rPr>
          <w:rFonts w:hint="eastAsia" w:ascii="Cambria Math" w:hAnsi="Cambria Math"/>
          <w:sz w:val="24"/>
        </w:rPr>
        <w:t xml:space="preserve"> 种组学模态，原始图和增强图由同一个模态特异 </w:t>
      </w:r>
      <w:r>
        <w:rPr>
          <w:rFonts w:hint="default" w:ascii="Times New Roman" w:hAnsi="Times New Roman" w:cs="Times New Roman"/>
          <w:sz w:val="24"/>
        </w:rPr>
        <w:t>GCN</w:t>
      </w:r>
      <w:r>
        <w:rPr>
          <w:rFonts w:hint="eastAsia" w:ascii="Cambria Math" w:hAnsi="Cambria Math"/>
          <w:sz w:val="24"/>
        </w:rPr>
        <w:t xml:space="preserve"> 编码器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m:t>
        </m:r>
      </m:oMath>
      <w:r>
        <w:rPr>
          <w:rFonts w:hint="eastAsia" w:ascii="Cambria Math" w:hAnsi="Cambria Math"/>
          <w:sz w:val="24"/>
        </w:rPr>
        <w:t xml:space="preserve"> 处理：</w:t>
      </w:r>
      <w:r>
        <w:rPr>
          <w:rFonts w:hint="eastAsia" w:ascii="Cambria Math" w:hAnsi="Cambria Math"/>
          <w:sz w:val="24"/>
          <w:lang w:val="en-US" w:eastAsia="zh-CN"/>
        </w:rPr>
        <w:tab/>
      </w:r>
    </w:p>
    <w:p w14:paraId="0AEE9588">
      <w:pPr>
        <w:ind w:firstLine="360"/>
        <w:jc w:val="both"/>
        <w:rPr>
          <w:rFonts w:hint="default" w:eastAsia="宋体"/>
          <w:lang w:val="en-US" w:eastAsia="zh-CN"/>
        </w:rPr>
      </w:pPr>
      <m:oMathPara>
        <m:oMathParaPr>
          <m:jc m:val="right"/>
        </m:oMathParaP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v</m:t>
              </m:r>
              <m:ctrlPr>
                <w:rPr>
                  <w:rFonts w:ascii="Cambria Math" w:hAnsi="Cambria Math" w:eastAsia="宋体"/>
                  <w:sz w:val="24"/>
                </w:rPr>
              </m:ctrlPr>
            </m:sub>
          </m:sSub>
          <m:r>
            <m:rPr/>
            <w:rPr>
              <w:rFonts w:hint="default" w:ascii="Cambria Math" w:hAnsi="Cambria Math" w:eastAsia="宋体"/>
              <w:sz w:val="24"/>
            </w:rPr>
            <m:t>),  </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H</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v</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hint="default" w:ascii="Cambria Math" w:hAnsi="Cambria Math" w:eastAsia="宋体"/>
                  <w:sz w:val="24"/>
                </w:rPr>
              </m:ctrlPr>
            </m:e>
            <m:sub>
              <m:r>
                <m:rPr/>
                <w:rPr>
                  <w:rFonts w:hint="default" w:ascii="Cambria Math" w:hAnsi="Cambria Math" w:eastAsia="宋体"/>
                  <w:sz w:val="24"/>
                </w:rPr>
                <m:t>v</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G</m:t>
                  </m:r>
                  <m:ctrlPr>
                    <w:rPr>
                      <w:rFonts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v</m:t>
              </m:r>
              <m:ctrlPr>
                <w:rPr>
                  <w:rFonts w:hint="default" w:ascii="Cambria Math" w:hAnsi="Cambria Math" w:eastAsia="宋体"/>
                  <w:sz w:val="24"/>
                </w:rPr>
              </m:ctrlPr>
            </m:sub>
          </m:sSub>
          <m:r>
            <m:rPr/>
            <w:rPr>
              <w:rFonts w:hint="default" w:ascii="Cambria Math" w:hAnsi="Cambria Math" w:eastAsia="宋体"/>
              <w:sz w:val="24"/>
            </w:rPr>
            <m:t>)</m:t>
          </m:r>
          <m:r>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(13)</m:t>
          </m:r>
        </m:oMath>
      </m:oMathPara>
    </w:p>
    <w:p w14:paraId="566288B9">
      <w:pPr>
        <w:snapToGrid w:val="0"/>
        <w:spacing w:line="360" w:lineRule="auto"/>
        <w:ind w:firstLine="480" w:firstLineChars="200"/>
        <w:rPr>
          <w:rFonts w:hint="eastAsia" w:ascii="Cambria Math" w:hAnsi="Cambria Math"/>
          <w:sz w:val="24"/>
        </w:rPr>
      </w:pPr>
      <w:r>
        <w:rPr>
          <w:rFonts w:hint="eastAsia" w:ascii="Cambria Math" w:hAnsi="Cambria Math"/>
          <w:sz w:val="24"/>
        </w:rPr>
        <w:t>其中，</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oMath>
      <w:r>
        <w:rPr>
          <w:rFonts w:hint="eastAsia" w:ascii="Cambria Math" w:hAnsi="Cambria Math"/>
          <w:sz w:val="24"/>
        </w:rPr>
        <w:t xml:space="preserve"> 和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oMath>
      <w:r>
        <w:rPr>
          <w:rFonts w:hint="eastAsia" w:ascii="Cambria Math" w:hAnsi="Cambria Math"/>
          <w:sz w:val="24"/>
        </w:rPr>
        <w:t xml:space="preserve"> 分别表示两种视图下得到的节点表示矩阵。原始图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oMath>
      <w:r>
        <w:rPr>
          <w:rFonts w:hint="eastAsia" w:ascii="Cambria Math" w:hAnsi="Cambria Math"/>
          <w:sz w:val="24"/>
        </w:rPr>
        <w:t xml:space="preserve"> 使用单位边权，增强图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G</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oMath>
      <w:r>
        <w:rPr>
          <w:rFonts w:hint="eastAsia" w:ascii="Cambria Math" w:hAnsi="Cambria Math"/>
          <w:sz w:val="24"/>
        </w:rPr>
        <w:t xml:space="preserve"> 使用式</w:t>
      </w:r>
      <w:r>
        <w:rPr>
          <w:rFonts w:hint="eastAsia" w:ascii="Cambria Math" w:hAnsi="Cambria Math"/>
          <w:sz w:val="24"/>
          <w:highlight w:val="yellow"/>
        </w:rPr>
        <w:t>（3.12）中</w:t>
      </w:r>
      <w:r>
        <w:rPr>
          <w:rFonts w:hint="eastAsia" w:ascii="Cambria Math" w:hAnsi="Cambria Math"/>
          <w:sz w:val="24"/>
        </w:rPr>
        <w:t xml:space="preserve">定义的边权 </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oMath>
      <w:r>
        <w:rPr>
          <w:rFonts w:hint="eastAsia" w:ascii="Cambria Math" w:hAnsi="Cambria Math"/>
          <w:sz w:val="24"/>
        </w:rPr>
        <w:t>。不同组学模态使用独立编码器以保留模态特异图模式，同一组学模态下的原始视图和增强视图共享编码器参数。</w:t>
      </w:r>
    </w:p>
    <w:p w14:paraId="75EDBCA3">
      <w:pPr>
        <w:snapToGrid w:val="0"/>
        <w:spacing w:line="360" w:lineRule="auto"/>
        <w:ind w:firstLine="480" w:firstLineChars="200"/>
        <w:rPr>
          <w:rFonts w:hint="eastAsia" w:ascii="Cambria Math" w:hAnsi="Cambria Math"/>
          <w:sz w:val="24"/>
        </w:rPr>
      </w:pPr>
      <w:r>
        <w:rPr>
          <w:rFonts w:hint="eastAsia" w:ascii="Cambria Math" w:hAnsi="Cambria Math"/>
          <w:sz w:val="24"/>
        </w:rPr>
        <w:t xml:space="preserve">对于每一种视图，先按照多组学融合方式得到患者级表示，再通过两层投影头映射为 </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ascii="Cambria Math" w:hAnsi="Cambria Math"/>
          <w:sz w:val="24"/>
        </w:rPr>
        <w:t xml:space="preserve"> 归一化嵌入 </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oMath>
      <w:r>
        <w:rPr>
          <w:rFonts w:hint="eastAsia" w:ascii="Cambria Math" w:hAnsi="Cambria Math"/>
          <w:sz w:val="24"/>
        </w:rPr>
        <w:t xml:space="preserve"> 和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z</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n</m:t>
            </m:r>
            <m:ctrlPr>
              <w:rPr>
                <w:rFonts w:hint="default" w:ascii="Cambria Math" w:hAnsi="Cambria Math"/>
                <w:sz w:val="24"/>
              </w:rPr>
            </m:ctrlPr>
          </m:sub>
        </m:sSub>
      </m:oMath>
      <w:r>
        <w:rPr>
          <w:rFonts w:hint="eastAsia" w:ascii="Cambria Math" w:hAnsi="Cambria Math"/>
          <w:sz w:val="24"/>
        </w:rPr>
        <w:t xml:space="preserve">。同一患者在两种视图中的表示构成正样本对，不同患者之间的表示构成负样本对。对于训练患者，跨视图相似性矩阵 </w:t>
      </w:r>
      <m:oMath>
        <m:r>
          <m:rPr/>
          <w:rPr>
            <w:rFonts w:hint="default" w:ascii="Cambria Math" w:hAnsi="Cambria Math"/>
            <w:sz w:val="24"/>
          </w:rPr>
          <m:t>S</m:t>
        </m:r>
      </m:oMath>
      <w:r>
        <w:rPr>
          <w:rFonts w:hint="eastAsia" w:ascii="Cambria Math" w:hAnsi="Cambria Math"/>
          <w:sz w:val="24"/>
        </w:rPr>
        <w:t xml:space="preserve"> 定义为：</w:t>
      </w:r>
    </w:p>
    <w:p w14:paraId="0A13540B">
      <w:pPr>
        <w:ind w:firstLine="360"/>
        <w:jc w:val="both"/>
        <w:rPr>
          <w:rFonts w:hint="default" w:eastAsia="宋体"/>
          <w:lang w:val="en-US" w:eastAsia="zh-CN"/>
        </w:rPr>
      </w:pPr>
      <m:oMathPara>
        <m:oMathParaPr>
          <m:jc m:val="right"/>
        </m:oMathParaPr>
        <m:oMath>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m:sty m:val="p"/>
                </m:rPr>
                <w:rPr>
                  <w:rFonts w:hint="default" w:ascii="Cambria Math" w:hAnsi="Cambria Math" w:eastAsia="宋体"/>
                  <w:sz w:val="24"/>
                </w:rPr>
                <m:t>con</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d>
            <m:dPr>
              <m:begChr m:val="["/>
              <m:endChr m:val="]"/>
              <m:ctrlPr>
                <w:rPr>
                  <w:rFonts w:hint="default" w:ascii="Cambria Math" w:hAnsi="Cambria Math" w:eastAsia="宋体"/>
                  <w:sz w:val="24"/>
                </w:rPr>
              </m:ctrlPr>
            </m:dPr>
            <m:e>
              <m:r>
                <m:rPr/>
                <w:rPr>
                  <w:rFonts w:hint="default" w:ascii="Cambria Math" w:hAnsi="Cambria Math" w:eastAsia="宋体"/>
                  <w:sz w:val="24"/>
                </w:rPr>
                <m:t>CE</m:t>
              </m:r>
              <m:d>
                <m:dPr>
                  <m:ctrlPr>
                    <w:rPr>
                      <w:rFonts w:hint="default" w:ascii="Cambria Math" w:hAnsi="Cambria Math" w:eastAsia="宋体"/>
                      <w:sz w:val="24"/>
                    </w:rPr>
                  </m:ctrlPr>
                </m:dPr>
                <m:e>
                  <m:r>
                    <m:rPr/>
                    <w:rPr>
                      <w:rFonts w:hint="default" w:ascii="Cambria Math" w:hAnsi="Cambria Math" w:eastAsia="宋体"/>
                      <w:sz w:val="24"/>
                    </w:rPr>
                    <m:t>S,</m:t>
                  </m:r>
                  <m:sSup>
                    <m:sSupPr>
                      <m:ctrlPr>
                        <w:rPr>
                          <w:rFonts w:hint="default" w:ascii="Cambria Math" w:hAnsi="Cambria Math" w:eastAsia="宋体"/>
                          <w:sz w:val="24"/>
                        </w:rPr>
                      </m:ctrlPr>
                    </m:sSupPr>
                    <m:e>
                      <m:r>
                        <m:rPr>
                          <m:sty m:val="b"/>
                        </m:rPr>
                        <w:rPr>
                          <w:rFonts w:hint="default" w:ascii="Cambria Math" w:hAnsi="Cambria Math" w:eastAsia="宋体"/>
                          <w:sz w:val="24"/>
                        </w:rPr>
                        <m:t>y</m:t>
                      </m:r>
                      <m:ctrlPr>
                        <w:rPr>
                          <w:rFonts w:ascii="Cambria Math" w:hAnsi="Cambria Math" w:eastAsia="宋体"/>
                          <w:sz w:val="24"/>
                        </w:rPr>
                      </m:ctrlPr>
                    </m:e>
                    <m:sup>
                      <m:r>
                        <m:rPr>
                          <m:sty m:val="p"/>
                        </m:rPr>
                        <w:rPr>
                          <w:rFonts w:hint="default" w:ascii="Cambria Math" w:hAnsi="Cambria Math" w:eastAsia="宋体"/>
                          <w:sz w:val="24"/>
                        </w:rPr>
                        <m:t>id</m:t>
                      </m:r>
                      <m:ctrlPr>
                        <w:rPr>
                          <w:rFonts w:ascii="Cambria Math" w:hAnsi="Cambria Math" w:eastAsia="宋体"/>
                          <w:sz w:val="24"/>
                        </w:rPr>
                      </m:ctrlPr>
                    </m:sup>
                  </m:sSup>
                  <m:ctrlPr>
                    <w:rPr>
                      <w:rFonts w:hint="default" w:ascii="Cambria Math" w:hAnsi="Cambria Math" w:eastAsia="宋体"/>
                      <w:sz w:val="24"/>
                    </w:rPr>
                  </m:ctrlPr>
                </m:e>
              </m:d>
              <m:r>
                <m:rPr/>
                <w:rPr>
                  <w:rFonts w:hint="default" w:ascii="Cambria Math" w:hAnsi="Cambria Math" w:eastAsia="宋体"/>
                  <w:sz w:val="24"/>
                </w:rPr>
                <m:t>+CE</m:t>
              </m:r>
              <m:d>
                <m:dPr>
                  <m:ctrlPr>
                    <w:rPr>
                      <w:rFonts w:hint="default" w:ascii="Cambria Math" w:hAnsi="Cambria Math" w:eastAsia="宋体"/>
                      <w:sz w:val="24"/>
                    </w:rPr>
                  </m:ctrlPr>
                </m:dPr>
                <m:e>
                  <m:sSup>
                    <m:sSupPr>
                      <m:ctrlPr>
                        <w:rPr>
                          <w:rFonts w:hint="default" w:ascii="Cambria Math" w:hAnsi="Cambria Math" w:eastAsia="宋体"/>
                          <w:sz w:val="24"/>
                        </w:rPr>
                      </m:ctrlPr>
                    </m:sSupPr>
                    <m:e>
                      <m:r>
                        <m:rPr/>
                        <w:rPr>
                          <w:rFonts w:hint="default" w:ascii="Cambria Math" w:hAnsi="Cambria Math" w:eastAsia="宋体"/>
                          <w:sz w:val="24"/>
                        </w:rPr>
                        <m:t>S</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m:t>
                  </m:r>
                  <m:sSup>
                    <m:sSupPr>
                      <m:ctrlPr>
                        <w:rPr>
                          <w:rFonts w:hint="default" w:ascii="Cambria Math" w:hAnsi="Cambria Math" w:eastAsia="宋体"/>
                          <w:sz w:val="24"/>
                        </w:rPr>
                      </m:ctrlPr>
                    </m:sSupPr>
                    <m:e>
                      <m:r>
                        <m:rPr>
                          <m:sty m:val="b"/>
                        </m:rPr>
                        <w:rPr>
                          <w:rFonts w:hint="default" w:ascii="Cambria Math" w:hAnsi="Cambria Math" w:eastAsia="宋体"/>
                          <w:sz w:val="24"/>
                        </w:rPr>
                        <m:t>y</m:t>
                      </m:r>
                      <m:ctrlPr>
                        <w:rPr>
                          <w:rFonts w:ascii="Cambria Math" w:hAnsi="Cambria Math" w:eastAsia="宋体"/>
                          <w:sz w:val="24"/>
                        </w:rPr>
                      </m:ctrlPr>
                    </m:e>
                    <m:sup>
                      <m:r>
                        <m:rPr>
                          <m:sty m:val="p"/>
                        </m:rPr>
                        <w:rPr>
                          <w:rFonts w:hint="default" w:ascii="Cambria Math" w:hAnsi="Cambria Math" w:eastAsia="宋体"/>
                          <w:sz w:val="24"/>
                        </w:rPr>
                        <m:t>id</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sz w:val="24"/>
                </w:rPr>
              </m:ctrlPr>
            </m:e>
          </m:d>
          <m:r>
            <m:rPr>
              <m:sty m:val="p"/>
            </m:rPr>
            <w:rPr>
              <w:rFonts w:hint="default" w:ascii="Cambria Math" w:hAnsi="Cambria Math" w:eastAsia="宋体"/>
              <w:sz w:val="24"/>
              <w:lang w:val="en-US" w:eastAsia="zh-CN"/>
            </w:rPr>
            <m:t xml:space="preserve">                                               </m:t>
          </m:r>
          <m:r>
            <m:rPr>
              <m:nor/>
              <m:sty m:val="p"/>
            </m:rPr>
            <w:rPr>
              <w:rFonts w:hint="default" w:ascii="Times New Roman" w:hAnsi="Times New Roman" w:eastAsia="宋体" w:cs="Times New Roman"/>
              <w:b w:val="0"/>
              <w:i w:val="0"/>
              <w:sz w:val="24"/>
              <w:lang w:val="en-US" w:eastAsia="zh-CN"/>
            </w:rPr>
            <m:t>(14)</m:t>
          </m:r>
        </m:oMath>
      </m:oMathPara>
    </w:p>
    <w:p w14:paraId="47D26F39">
      <w:pPr>
        <w:snapToGrid w:val="0"/>
        <w:spacing w:line="360" w:lineRule="auto"/>
        <w:ind w:firstLine="480" w:firstLineChars="200"/>
        <w:rPr>
          <w:rFonts w:hint="eastAsia" w:ascii="Cambria Math" w:hAnsi="Cambria Math"/>
          <w:sz w:val="24"/>
        </w:rPr>
      </w:pPr>
      <w:r>
        <w:rPr>
          <w:rFonts w:hint="eastAsia" w:ascii="Cambria Math" w:hAnsi="Cambria Math"/>
          <w:sz w:val="24"/>
        </w:rPr>
        <w:t>其中，</w:t>
      </w:r>
      <m:oMath>
        <m:r>
          <m:rPr/>
          <w:rPr>
            <w:rFonts w:hint="default" w:ascii="Cambria Math" w:hAnsi="Cambria Math"/>
            <w:sz w:val="24"/>
          </w:rPr>
          <m:t>CE</m:t>
        </m:r>
      </m:oMath>
      <w:r>
        <w:rPr>
          <w:rFonts w:hint="eastAsia" w:ascii="Cambria Math" w:hAnsi="Cambria Math"/>
          <w:sz w:val="24"/>
        </w:rPr>
        <w:t xml:space="preserve"> 表示行方向交叉熵，</w:t>
      </w:r>
      <m:oMath>
        <m:sSup>
          <m:sSupPr>
            <m:ctrlPr>
              <w:rPr>
                <w:rFonts w:hint="default" w:ascii="Cambria Math" w:hAnsi="Cambria Math"/>
                <w:sz w:val="24"/>
              </w:rPr>
            </m:ctrlPr>
          </m:sSupPr>
          <m:e>
            <m:r>
              <m:rPr>
                <m:sty m:val="b"/>
              </m:rPr>
              <w:rPr>
                <w:rFonts w:hint="default" w:ascii="Cambria Math" w:hAnsi="Cambria Math"/>
                <w:sz w:val="24"/>
              </w:rPr>
              <m:t>y</m:t>
            </m:r>
            <m:ctrlPr>
              <w:rPr>
                <w:rFonts w:ascii="Cambria Math" w:hAnsi="Cambria Math"/>
                <w:sz w:val="24"/>
              </w:rPr>
            </m:ctrlPr>
          </m:e>
          <m:sup>
            <m:r>
              <m:rPr>
                <m:sty m:val="p"/>
              </m:rPr>
              <w:rPr>
                <w:rFonts w:hint="default" w:ascii="Cambria Math" w:hAnsi="Cambria Math"/>
                <w:sz w:val="24"/>
              </w:rPr>
              <m:t>id</m:t>
            </m:r>
            <m:ctrlPr>
              <w:rPr>
                <w:rFonts w:ascii="Cambria Math" w:hAnsi="Cambria Math"/>
                <w:sz w:val="24"/>
              </w:rPr>
            </m:ctrlPr>
          </m:sup>
        </m:sSup>
      </m:oMath>
      <w:r>
        <w:rPr>
          <w:rFonts w:hint="eastAsia" w:ascii="Cambria Math" w:hAnsi="Cambria Math"/>
          <w:sz w:val="24"/>
          <w:highlight w:val="none"/>
        </w:rPr>
        <w:t xml:space="preserve"> 用于标</w:t>
      </w:r>
      <w:r>
        <w:rPr>
          <w:rFonts w:hint="eastAsia" w:ascii="Cambria Math" w:hAnsi="Cambria Math"/>
          <w:sz w:val="24"/>
        </w:rPr>
        <w:t xml:space="preserve">识相似性矩阵 </w:t>
      </w:r>
      <m:oMath>
        <m:r>
          <m:rPr/>
          <w:rPr>
            <w:rFonts w:hint="default" w:ascii="Cambria Math" w:hAnsi="Cambria Math"/>
            <w:sz w:val="24"/>
          </w:rPr>
          <m:t>S</m:t>
        </m:r>
      </m:oMath>
      <w:r>
        <w:rPr>
          <w:rFonts w:hint="eastAsia" w:ascii="Cambria Math" w:hAnsi="Cambria Math"/>
          <w:sz w:val="24"/>
        </w:rPr>
        <w:t xml:space="preserve"> 的对角线元素为正样本对。该目标用于保持同一患者在类别感知特征扰动和拓扑扰动下的身份一致性。</w:t>
      </w:r>
    </w:p>
    <w:p w14:paraId="012ACA8C">
      <w:pPr>
        <w:pStyle w:val="4"/>
        <w:spacing w:before="120" w:after="120" w:line="300" w:lineRule="auto"/>
        <w:jc w:val="left"/>
        <w:rPr>
          <w:rFonts w:hint="eastAsia" w:ascii="宋体" w:hAnsi="宋体" w:eastAsia="宋体" w:cs="宋体"/>
          <w:b w:val="0"/>
          <w:bCs w:val="0"/>
          <w:sz w:val="24"/>
          <w:szCs w:val="24"/>
          <w:lang w:bidi="ar"/>
        </w:rPr>
      </w:pPr>
      <w:r>
        <w:rPr>
          <w:rFonts w:hint="eastAsia" w:ascii="宋体" w:hAnsi="宋体" w:eastAsia="宋体" w:cs="宋体"/>
          <w:b w:val="0"/>
          <w:bCs w:val="0"/>
          <w:sz w:val="24"/>
          <w:szCs w:val="24"/>
          <w:lang w:bidi="ar"/>
        </w:rPr>
        <w:t>3.1.3.</w:t>
      </w:r>
      <w:r>
        <w:rPr>
          <w:rFonts w:hint="eastAsia" w:ascii="宋体" w:hAnsi="宋体" w:eastAsia="宋体" w:cs="宋体"/>
          <w:b w:val="0"/>
          <w:bCs w:val="0"/>
          <w:sz w:val="24"/>
          <w:szCs w:val="24"/>
          <w:lang w:val="en-US" w:eastAsia="zh-CN" w:bidi="ar"/>
        </w:rPr>
        <w:t>2</w:t>
      </w:r>
      <w:r>
        <w:rPr>
          <w:rFonts w:hint="eastAsia" w:ascii="宋体" w:hAnsi="宋体" w:eastAsia="宋体" w:cs="宋体"/>
          <w:b w:val="0"/>
          <w:bCs w:val="0"/>
          <w:sz w:val="24"/>
          <w:szCs w:val="24"/>
          <w:lang w:bidi="ar"/>
        </w:rPr>
        <w:t>多组学融合与分类</w:t>
      </w:r>
    </w:p>
    <w:p w14:paraId="1532AA0F">
      <w:pPr>
        <w:spacing w:line="360" w:lineRule="auto"/>
        <w:ind w:firstLine="480" w:firstLineChars="200"/>
        <w:rPr>
          <w:rFonts w:hint="eastAsia" w:ascii="Times New Roman" w:hAnsi="Times New Roman"/>
          <w:kern w:val="0"/>
          <w:sz w:val="24"/>
          <w:lang w:bidi="ar"/>
        </w:rPr>
      </w:pPr>
      <w:bookmarkStart w:id="10" w:name="OLE_LINK10"/>
      <w:r>
        <w:rPr>
          <w:rFonts w:hint="eastAsia" w:ascii="Times New Roman" w:hAnsi="Times New Roman"/>
          <w:kern w:val="0"/>
          <w:sz w:val="24"/>
          <w:lang w:bidi="ar"/>
        </w:rPr>
        <w:t xml:space="preserve">由于不同组学模态对不同患者的贡献不同，CFC 使用多头自注意力估计患者特异的模态权重。设 </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n,v</m:t>
            </m:r>
            <m:ctrlPr>
              <w:rPr>
                <w:rFonts w:ascii="Cambria Math" w:hAnsi="Cambria Math"/>
                <w:sz w:val="24"/>
              </w:rPr>
            </m:ctrlPr>
          </m:sub>
        </m:sSub>
      </m:oMath>
      <w:r>
        <w:rPr>
          <w:rFonts w:hint="eastAsia" w:ascii="Times New Roman" w:hAnsi="Times New Roman"/>
          <w:kern w:val="0"/>
          <w:sz w:val="24"/>
          <w:lang w:bidi="ar"/>
        </w:rPr>
        <w:t xml:space="preserve"> 表示患者 </w:t>
      </w:r>
      <m:oMath>
        <m:r>
          <m:rPr/>
          <w:rPr>
            <w:rFonts w:hint="default" w:ascii="Cambria Math" w:hAnsi="Cambria Math"/>
            <w:sz w:val="24"/>
          </w:rPr>
          <m:t>n</m:t>
        </m:r>
      </m:oMath>
      <w:r>
        <w:rPr>
          <w:rFonts w:hint="eastAsia" w:ascii="Times New Roman" w:hAnsi="Times New Roman"/>
          <w:kern w:val="0"/>
          <w:sz w:val="24"/>
          <w:lang w:bidi="ar"/>
        </w:rPr>
        <w:t xml:space="preserve"> 在第 </w:t>
      </w:r>
      <m:oMath>
        <m:r>
          <m:rPr/>
          <w:rPr>
            <w:rFonts w:hint="default" w:ascii="Cambria Math" w:hAnsi="Cambria Math"/>
            <w:sz w:val="24"/>
          </w:rPr>
          <m:t>v</m:t>
        </m:r>
      </m:oMath>
      <w:r>
        <w:rPr>
          <w:rFonts w:hint="eastAsia" w:ascii="Times New Roman" w:hAnsi="Times New Roman"/>
          <w:kern w:val="0"/>
          <w:sz w:val="24"/>
          <w:lang w:bidi="ar"/>
        </w:rPr>
        <w:t xml:space="preserve"> 种组学模态下的表示，线性变换后得到：</w:t>
      </w:r>
    </w:p>
    <w:p w14:paraId="6ABF3911">
      <w:pPr>
        <w:spacing w:line="360" w:lineRule="auto"/>
        <w:ind w:firstLine="480" w:firstLineChars="200"/>
        <w:rPr>
          <w:rFonts w:ascii="Times New Roman" w:hAnsi="Times New Roman"/>
          <w:kern w:val="0"/>
          <w:sz w:val="24"/>
          <w:lang w:bidi="ar"/>
        </w:rPr>
      </w:pPr>
      <w:r>
        <w:rPr>
          <w:rFonts w:hint="eastAsia" w:ascii="Times New Roman" w:hAnsi="Times New Roman"/>
          <w:kern w:val="0"/>
          <w:sz w:val="24"/>
          <w:lang w:bidi="ar"/>
        </w:rPr>
        <w:t>：</w:t>
      </w:r>
    </w:p>
    <w:bookmarkEnd w:id="10"/>
    <w:p w14:paraId="4C3DA7FD">
      <w:pPr>
        <w:spacing w:line="360" w:lineRule="auto"/>
        <w:ind w:firstLine="480" w:firstLineChars="200"/>
        <w:rPr>
          <w:rFonts w:ascii="Times New Roman" w:hAnsi="Times New Roman"/>
          <w:kern w:val="0"/>
          <w:sz w:val="24"/>
          <w:lang w:bidi="ar"/>
        </w:rPr>
      </w:pPr>
    </w:p>
    <w:bookmarkEnd w:id="7"/>
    <w:bookmarkEnd w:id="8"/>
    <w:p w14:paraId="4525FB24">
      <w:pPr>
        <w:spacing w:before="240"/>
        <w:outlineLvl w:val="1"/>
        <w:rPr>
          <w:rFonts w:hint="eastAsia" w:ascii="黑体" w:hAnsi="黑体" w:eastAsia="黑体"/>
          <w:sz w:val="32"/>
          <w:szCs w:val="32"/>
        </w:rPr>
      </w:pPr>
      <w:r>
        <w:rPr>
          <w:rFonts w:ascii="黑体" w:hAnsi="黑体" w:eastAsia="黑体"/>
          <w:sz w:val="32"/>
          <w:szCs w:val="32"/>
        </w:rPr>
        <w:t>3.2</w:t>
      </w:r>
      <w:r>
        <w:rPr>
          <w:rFonts w:hint="eastAsia" w:ascii="黑体" w:hAnsi="黑体" w:eastAsia="黑体"/>
          <w:sz w:val="32"/>
          <w:szCs w:val="32"/>
        </w:rPr>
        <w:t xml:space="preserve"> </w:t>
      </w:r>
      <w:r>
        <w:rPr>
          <w:rFonts w:ascii="黑体" w:hAnsi="黑体" w:eastAsia="黑体"/>
          <w:sz w:val="32"/>
          <w:szCs w:val="32"/>
        </w:rPr>
        <w:t>阶段性成果</w:t>
      </w:r>
    </w:p>
    <w:p w14:paraId="110C931C">
      <w:pPr>
        <w:pStyle w:val="3"/>
        <w:spacing w:before="0" w:line="240" w:lineRule="auto"/>
        <w:rPr>
          <w:rFonts w:hint="eastAsia" w:ascii="宋体" w:hAnsi="宋体"/>
          <w:sz w:val="28"/>
          <w:szCs w:val="28"/>
        </w:rPr>
      </w:pPr>
      <w:r>
        <w:rPr>
          <w:rFonts w:ascii="宋体" w:hAnsi="宋体"/>
          <w:sz w:val="28"/>
          <w:szCs w:val="28"/>
        </w:rPr>
        <w:t>3.2.1  实验结果及分析</w:t>
      </w:r>
    </w:p>
    <w:p w14:paraId="200DDD83">
      <w:pPr>
        <w:pStyle w:val="4"/>
        <w:spacing w:before="120" w:after="120" w:line="300" w:lineRule="auto"/>
        <w:jc w:val="left"/>
        <w:rPr>
          <w:rFonts w:hint="eastAsia" w:ascii="宋体" w:hAnsi="宋体" w:eastAsia="宋体" w:cs="宋体"/>
          <w:b w:val="0"/>
          <w:bCs w:val="0"/>
          <w:sz w:val="24"/>
          <w:szCs w:val="24"/>
          <w:lang w:bidi="ar"/>
        </w:rPr>
      </w:pPr>
      <w:r>
        <w:rPr>
          <w:rFonts w:ascii="宋体" w:hAnsi="宋体" w:eastAsia="宋体" w:cs="宋体"/>
          <w:b w:val="0"/>
          <w:bCs w:val="0"/>
          <w:sz w:val="24"/>
          <w:szCs w:val="24"/>
          <w:lang w:bidi="ar"/>
        </w:rPr>
        <w:t>3.2.1.1数据集</w:t>
      </w:r>
    </w:p>
    <w:p w14:paraId="4EF7AB2D">
      <w:pPr>
        <w:spacing w:line="360" w:lineRule="auto"/>
        <w:ind w:firstLine="480" w:firstLineChars="200"/>
        <w:rPr>
          <w:rFonts w:ascii="Times New Roman" w:hAnsi="Times New Roman"/>
          <w:kern w:val="0"/>
          <w:sz w:val="24"/>
          <w:lang w:bidi="ar"/>
        </w:rPr>
      </w:pPr>
      <w:r>
        <w:rPr>
          <w:rFonts w:hint="eastAsia" w:ascii="Times New Roman" w:hAnsi="Times New Roman"/>
          <w:kern w:val="0"/>
          <w:sz w:val="24"/>
          <w:lang w:bidi="ar"/>
        </w:rPr>
        <w:t>实验使用了两组scRNA-seq数据和空间转录组数据集</w:t>
      </w:r>
      <w:r>
        <w:rPr>
          <w:rFonts w:ascii="Times New Roman" w:hAnsi="Times New Roman"/>
          <w:kern w:val="0"/>
          <w:sz w:val="24"/>
          <w:lang w:bidi="ar"/>
        </w:rPr>
        <w:t>进行实验，数据集</w:t>
      </w:r>
      <w:r>
        <w:rPr>
          <w:rFonts w:hint="eastAsia" w:ascii="Times New Roman" w:hAnsi="Times New Roman"/>
          <w:kern w:val="0"/>
          <w:sz w:val="24"/>
          <w:lang w:bidi="ar"/>
        </w:rPr>
        <w:t>的详细信息如</w:t>
      </w:r>
      <w:r>
        <w:rPr>
          <w:rFonts w:ascii="Times New Roman" w:hAnsi="Times New Roman"/>
          <w:kern w:val="0"/>
          <w:sz w:val="24"/>
          <w:lang w:bidi="ar"/>
        </w:rPr>
        <w:t>表3.1</w:t>
      </w:r>
      <w:r>
        <w:rPr>
          <w:rFonts w:hint="eastAsia" w:ascii="Times New Roman" w:hAnsi="Times New Roman"/>
          <w:kern w:val="0"/>
          <w:sz w:val="24"/>
          <w:lang w:bidi="ar"/>
        </w:rPr>
        <w:t>和表3.2</w:t>
      </w:r>
      <w:r>
        <w:rPr>
          <w:rFonts w:ascii="Times New Roman" w:hAnsi="Times New Roman"/>
          <w:kern w:val="0"/>
          <w:sz w:val="24"/>
          <w:lang w:bidi="ar"/>
        </w:rPr>
        <w:t>所示。</w:t>
      </w:r>
    </w:p>
    <w:p w14:paraId="00EF8DC2">
      <w:pPr>
        <w:spacing w:line="360" w:lineRule="auto"/>
        <w:ind w:firstLine="480" w:firstLineChars="200"/>
        <w:rPr>
          <w:rFonts w:ascii="Times New Roman" w:hAnsi="Times New Roman"/>
          <w:kern w:val="0"/>
          <w:sz w:val="24"/>
          <w:lang w:bidi="ar"/>
        </w:rPr>
      </w:pPr>
      <w:r>
        <w:rPr>
          <w:rFonts w:hint="eastAsia" w:ascii="Times New Roman" w:hAnsi="Times New Roman"/>
          <w:kern w:val="0"/>
          <w:sz w:val="24"/>
          <w:lang w:bidi="ar"/>
        </w:rPr>
        <w:t>根据模拟空间数据的合成方法，将scRNA-seq数据集合成为伪spot，每个scRNA-seq数据集分别参考空间转录组学数据，最终</w:t>
      </w:r>
      <w:r>
        <w:rPr>
          <w:rFonts w:ascii="Times New Roman" w:hAnsi="Times New Roman"/>
          <w:kern w:val="0"/>
          <w:sz w:val="24"/>
          <w:lang w:bidi="ar"/>
        </w:rPr>
        <w:t>Mouse V1 and Alm SMART-seq</w:t>
      </w:r>
      <w:r>
        <w:rPr>
          <w:rFonts w:hint="eastAsia" w:ascii="Times New Roman" w:hAnsi="Times New Roman"/>
          <w:kern w:val="0"/>
          <w:sz w:val="24"/>
          <w:lang w:bidi="ar"/>
        </w:rPr>
        <w:t>在</w:t>
      </w:r>
      <w:r>
        <w:rPr>
          <w:rFonts w:ascii="Times New Roman" w:hAnsi="Times New Roman"/>
          <w:kern w:val="0"/>
          <w:sz w:val="24"/>
          <w:lang w:bidi="ar"/>
        </w:rPr>
        <w:t>ExSeq</w:t>
      </w:r>
      <w:r>
        <w:rPr>
          <w:rFonts w:hint="eastAsia" w:ascii="Times New Roman" w:hAnsi="Times New Roman"/>
          <w:kern w:val="0"/>
          <w:sz w:val="24"/>
          <w:lang w:bidi="ar"/>
        </w:rPr>
        <w:t>空间转录组学数据的参考下合成1179个spot，在</w:t>
      </w:r>
      <w:r>
        <w:rPr>
          <w:rFonts w:ascii="Times New Roman" w:hAnsi="Times New Roman"/>
          <w:kern w:val="0"/>
          <w:sz w:val="24"/>
          <w:lang w:bidi="ar"/>
        </w:rPr>
        <w:t>seqFISH+</w:t>
      </w:r>
      <w:r>
        <w:rPr>
          <w:rFonts w:hint="eastAsia" w:ascii="Times New Roman" w:hAnsi="Times New Roman"/>
          <w:kern w:val="0"/>
          <w:sz w:val="24"/>
          <w:lang w:bidi="ar"/>
        </w:rPr>
        <w:t>空间转录组学数据的参考下合成953个spot。</w:t>
      </w:r>
      <w:r>
        <w:rPr>
          <w:rFonts w:ascii="Times New Roman" w:hAnsi="Times New Roman"/>
          <w:kern w:val="0"/>
          <w:sz w:val="24"/>
          <w:lang w:bidi="ar"/>
        </w:rPr>
        <w:t xml:space="preserve"> </w:t>
      </w:r>
    </w:p>
    <w:p w14:paraId="14942D13">
      <w:pPr>
        <w:spacing w:line="360" w:lineRule="auto"/>
        <w:jc w:val="center"/>
        <w:rPr>
          <w:rFonts w:ascii="Times New Roman" w:hAnsi="Times New Roman"/>
          <w:kern w:val="0"/>
          <w:szCs w:val="21"/>
          <w:lang w:bidi="ar"/>
        </w:rPr>
      </w:pPr>
      <w:bookmarkStart w:id="11" w:name="OLE_LINK16"/>
      <w:r>
        <w:rPr>
          <w:rFonts w:hint="eastAsia" w:ascii="Times New Roman" w:hAnsi="Times New Roman"/>
          <w:kern w:val="0"/>
          <w:szCs w:val="21"/>
          <w:lang w:bidi="ar"/>
        </w:rPr>
        <w:t>表3.1 scRNA-seq数据集</w:t>
      </w:r>
    </w:p>
    <w:bookmarkEnd w:id="11"/>
    <w:tbl>
      <w:tblPr>
        <w:tblStyle w:val="13"/>
        <w:tblW w:w="3553" w:type="pct"/>
        <w:jc w:val="center"/>
        <w:tblLayout w:type="autofit"/>
        <w:tblCellMar>
          <w:top w:w="0" w:type="dxa"/>
          <w:left w:w="108" w:type="dxa"/>
          <w:bottom w:w="0" w:type="dxa"/>
          <w:right w:w="108" w:type="dxa"/>
        </w:tblCellMar>
      </w:tblPr>
      <w:tblGrid>
        <w:gridCol w:w="1123"/>
        <w:gridCol w:w="2468"/>
        <w:gridCol w:w="2469"/>
      </w:tblGrid>
      <w:tr w14:paraId="17906EFE">
        <w:tblPrEx>
          <w:tblCellMar>
            <w:top w:w="0" w:type="dxa"/>
            <w:left w:w="108" w:type="dxa"/>
            <w:bottom w:w="0" w:type="dxa"/>
            <w:right w:w="108" w:type="dxa"/>
          </w:tblCellMar>
        </w:tblPrEx>
        <w:trPr>
          <w:trHeight w:val="357" w:hRule="atLeast"/>
          <w:jc w:val="center"/>
        </w:trPr>
        <w:tc>
          <w:tcPr>
            <w:tcW w:w="1095" w:type="dxa"/>
            <w:tcBorders>
              <w:top w:val="single" w:color="auto" w:sz="12" w:space="0"/>
              <w:bottom w:val="single" w:color="auto" w:sz="2" w:space="0"/>
            </w:tcBorders>
            <w:vAlign w:val="center"/>
          </w:tcPr>
          <w:p w14:paraId="33136988">
            <w:pPr>
              <w:spacing w:line="360" w:lineRule="auto"/>
              <w:jc w:val="center"/>
              <w:rPr>
                <w:rFonts w:ascii="Times New Roman" w:hAnsi="Times New Roman"/>
                <w:szCs w:val="21"/>
              </w:rPr>
            </w:pPr>
            <w:r>
              <w:rPr>
                <w:rFonts w:hint="eastAsia" w:ascii="Times New Roman" w:hAnsi="Times New Roman"/>
                <w:szCs w:val="21"/>
              </w:rPr>
              <w:t>名称</w:t>
            </w:r>
          </w:p>
        </w:tc>
        <w:tc>
          <w:tcPr>
            <w:tcW w:w="2406" w:type="dxa"/>
            <w:tcBorders>
              <w:top w:val="single" w:color="auto" w:sz="12" w:space="0"/>
              <w:bottom w:val="single" w:color="auto" w:sz="2" w:space="0"/>
            </w:tcBorders>
          </w:tcPr>
          <w:p w14:paraId="0AC44DBE">
            <w:pPr>
              <w:spacing w:line="360" w:lineRule="auto"/>
              <w:jc w:val="center"/>
              <w:rPr>
                <w:rFonts w:ascii="Times New Roman" w:hAnsi="Times New Roman"/>
                <w:szCs w:val="21"/>
              </w:rPr>
            </w:pPr>
            <w:bookmarkStart w:id="12" w:name="OLE_LINK41"/>
            <w:r>
              <w:rPr>
                <w:rFonts w:ascii="Times New Roman" w:hAnsi="Times New Roman"/>
                <w:szCs w:val="21"/>
              </w:rPr>
              <w:t>Mouse V1 and Alm SMART-seq</w:t>
            </w:r>
            <w:bookmarkEnd w:id="12"/>
            <w:r>
              <w:rPr>
                <w:rFonts w:ascii="Times New Roman" w:hAnsi="Times New Roman"/>
                <w:szCs w:val="21"/>
                <w:vertAlign w:val="superscript"/>
              </w:rPr>
              <w:fldChar w:fldCharType="begin"/>
            </w:r>
            <w:r>
              <w:rPr>
                <w:rFonts w:ascii="Times New Roman" w:hAnsi="Times New Roman"/>
                <w:szCs w:val="21"/>
                <w:vertAlign w:val="superscript"/>
              </w:rPr>
              <w:instrText xml:space="preserve"> REF _Ref202191777 \r \h  \* MERGEFORMAT </w:instrText>
            </w:r>
            <w:r>
              <w:rPr>
                <w:rFonts w:ascii="Times New Roman" w:hAnsi="Times New Roman"/>
                <w:szCs w:val="21"/>
                <w:vertAlign w:val="superscript"/>
              </w:rPr>
              <w:fldChar w:fldCharType="separate"/>
            </w:r>
            <w:r>
              <w:rPr>
                <w:rFonts w:ascii="Times New Roman" w:hAnsi="Times New Roman"/>
                <w:szCs w:val="21"/>
                <w:vertAlign w:val="superscript"/>
              </w:rPr>
              <w:t>[44]</w:t>
            </w:r>
            <w:r>
              <w:rPr>
                <w:rFonts w:ascii="Times New Roman" w:hAnsi="Times New Roman"/>
                <w:szCs w:val="21"/>
                <w:vertAlign w:val="superscript"/>
              </w:rPr>
              <w:fldChar w:fldCharType="end"/>
            </w:r>
          </w:p>
        </w:tc>
        <w:tc>
          <w:tcPr>
            <w:tcW w:w="2406" w:type="dxa"/>
            <w:tcBorders>
              <w:top w:val="single" w:color="auto" w:sz="12" w:space="0"/>
              <w:bottom w:val="single" w:color="auto" w:sz="2" w:space="0"/>
            </w:tcBorders>
          </w:tcPr>
          <w:p w14:paraId="27E72281">
            <w:pPr>
              <w:spacing w:line="360" w:lineRule="auto"/>
              <w:jc w:val="center"/>
              <w:rPr>
                <w:rFonts w:ascii="Times New Roman" w:hAnsi="Times New Roman"/>
                <w:szCs w:val="21"/>
              </w:rPr>
            </w:pPr>
            <w:r>
              <w:rPr>
                <w:rFonts w:ascii="Times New Roman" w:hAnsi="Times New Roman"/>
                <w:szCs w:val="21"/>
              </w:rPr>
              <w:t>Mouse V1 and Alm SMART-seq</w:t>
            </w:r>
            <w:r>
              <w:rPr>
                <w:rFonts w:ascii="Times New Roman" w:hAnsi="Times New Roman"/>
                <w:szCs w:val="21"/>
                <w:vertAlign w:val="superscript"/>
              </w:rPr>
              <w:fldChar w:fldCharType="begin"/>
            </w:r>
            <w:r>
              <w:rPr>
                <w:rFonts w:ascii="Times New Roman" w:hAnsi="Times New Roman"/>
                <w:szCs w:val="21"/>
                <w:vertAlign w:val="superscript"/>
              </w:rPr>
              <w:instrText xml:space="preserve"> REF _Ref202191777 \r \h  \* MERGEFORMAT </w:instrText>
            </w:r>
            <w:r>
              <w:rPr>
                <w:rFonts w:ascii="Times New Roman" w:hAnsi="Times New Roman"/>
                <w:szCs w:val="21"/>
                <w:vertAlign w:val="superscript"/>
              </w:rPr>
              <w:fldChar w:fldCharType="separate"/>
            </w:r>
            <w:r>
              <w:rPr>
                <w:rFonts w:ascii="Times New Roman" w:hAnsi="Times New Roman"/>
                <w:szCs w:val="21"/>
                <w:vertAlign w:val="superscript"/>
              </w:rPr>
              <w:t>[44]</w:t>
            </w:r>
            <w:r>
              <w:rPr>
                <w:rFonts w:ascii="Times New Roman" w:hAnsi="Times New Roman"/>
                <w:szCs w:val="21"/>
                <w:vertAlign w:val="superscript"/>
              </w:rPr>
              <w:fldChar w:fldCharType="end"/>
            </w:r>
          </w:p>
        </w:tc>
      </w:tr>
      <w:tr w14:paraId="1C1239C0">
        <w:tblPrEx>
          <w:tblCellMar>
            <w:top w:w="0" w:type="dxa"/>
            <w:left w:w="108" w:type="dxa"/>
            <w:bottom w:w="0" w:type="dxa"/>
            <w:right w:w="108" w:type="dxa"/>
          </w:tblCellMar>
        </w:tblPrEx>
        <w:trPr>
          <w:trHeight w:val="357" w:hRule="atLeast"/>
          <w:jc w:val="center"/>
        </w:trPr>
        <w:tc>
          <w:tcPr>
            <w:tcW w:w="1095" w:type="dxa"/>
            <w:tcBorders>
              <w:top w:val="single" w:color="auto" w:sz="2" w:space="0"/>
            </w:tcBorders>
          </w:tcPr>
          <w:p w14:paraId="470723F6">
            <w:pPr>
              <w:spacing w:line="360" w:lineRule="auto"/>
              <w:jc w:val="center"/>
              <w:rPr>
                <w:rFonts w:ascii="Times New Roman" w:hAnsi="Times New Roman"/>
                <w:szCs w:val="21"/>
              </w:rPr>
            </w:pPr>
            <w:r>
              <w:rPr>
                <w:rFonts w:hint="eastAsia" w:ascii="Times New Roman" w:hAnsi="Times New Roman"/>
                <w:szCs w:val="21"/>
              </w:rPr>
              <w:t>组织</w:t>
            </w:r>
          </w:p>
        </w:tc>
        <w:tc>
          <w:tcPr>
            <w:tcW w:w="2406" w:type="dxa"/>
            <w:tcBorders>
              <w:top w:val="single" w:color="auto" w:sz="2" w:space="0"/>
            </w:tcBorders>
          </w:tcPr>
          <w:p w14:paraId="77FB740C">
            <w:pPr>
              <w:spacing w:line="360" w:lineRule="auto"/>
              <w:jc w:val="center"/>
              <w:rPr>
                <w:rFonts w:ascii="Times New Roman" w:hAnsi="Times New Roman"/>
                <w:szCs w:val="21"/>
              </w:rPr>
            </w:pPr>
            <w:r>
              <w:rPr>
                <w:rFonts w:ascii="Times New Roman" w:hAnsi="Times New Roman"/>
                <w:szCs w:val="21"/>
              </w:rPr>
              <w:t xml:space="preserve">Mouse </w:t>
            </w:r>
            <w:r>
              <w:rPr>
                <w:rFonts w:hint="eastAsia" w:ascii="Times New Roman" w:hAnsi="Times New Roman"/>
                <w:szCs w:val="21"/>
              </w:rPr>
              <w:t>Vi</w:t>
            </w:r>
            <w:r>
              <w:rPr>
                <w:rFonts w:ascii="Times New Roman" w:hAnsi="Times New Roman"/>
                <w:szCs w:val="21"/>
              </w:rPr>
              <w:t>sual cortex</w:t>
            </w:r>
          </w:p>
        </w:tc>
        <w:tc>
          <w:tcPr>
            <w:tcW w:w="2406" w:type="dxa"/>
            <w:tcBorders>
              <w:top w:val="single" w:color="auto" w:sz="2" w:space="0"/>
            </w:tcBorders>
          </w:tcPr>
          <w:p w14:paraId="049FEED8">
            <w:pPr>
              <w:spacing w:line="360" w:lineRule="auto"/>
              <w:jc w:val="center"/>
              <w:rPr>
                <w:rFonts w:ascii="Times New Roman" w:hAnsi="Times New Roman"/>
                <w:szCs w:val="21"/>
              </w:rPr>
            </w:pPr>
            <w:r>
              <w:rPr>
                <w:rFonts w:ascii="Times New Roman" w:hAnsi="Times New Roman"/>
                <w:szCs w:val="21"/>
              </w:rPr>
              <w:t>Mouse</w:t>
            </w:r>
            <w:r>
              <w:rPr>
                <w:rFonts w:hint="eastAsia" w:ascii="Times New Roman" w:hAnsi="Times New Roman"/>
                <w:szCs w:val="21"/>
              </w:rPr>
              <w:t xml:space="preserve"> V</w:t>
            </w:r>
            <w:r>
              <w:rPr>
                <w:rFonts w:ascii="Times New Roman" w:hAnsi="Times New Roman"/>
                <w:szCs w:val="21"/>
              </w:rPr>
              <w:t>isual cortex</w:t>
            </w:r>
          </w:p>
        </w:tc>
      </w:tr>
      <w:tr w14:paraId="07542B66">
        <w:tblPrEx>
          <w:tblCellMar>
            <w:top w:w="0" w:type="dxa"/>
            <w:left w:w="108" w:type="dxa"/>
            <w:bottom w:w="0" w:type="dxa"/>
            <w:right w:w="108" w:type="dxa"/>
          </w:tblCellMar>
        </w:tblPrEx>
        <w:trPr>
          <w:trHeight w:val="357" w:hRule="atLeast"/>
          <w:jc w:val="center"/>
        </w:trPr>
        <w:tc>
          <w:tcPr>
            <w:tcW w:w="1095" w:type="dxa"/>
          </w:tcPr>
          <w:p w14:paraId="023E4ADA">
            <w:pPr>
              <w:spacing w:line="360" w:lineRule="auto"/>
              <w:jc w:val="center"/>
              <w:rPr>
                <w:rFonts w:ascii="Times New Roman" w:hAnsi="Times New Roman"/>
                <w:szCs w:val="21"/>
              </w:rPr>
            </w:pPr>
            <w:r>
              <w:rPr>
                <w:rFonts w:hint="eastAsia" w:ascii="Times New Roman" w:hAnsi="Times New Roman"/>
                <w:szCs w:val="21"/>
              </w:rPr>
              <w:t>细胞数量</w:t>
            </w:r>
          </w:p>
        </w:tc>
        <w:tc>
          <w:tcPr>
            <w:tcW w:w="2406" w:type="dxa"/>
          </w:tcPr>
          <w:p w14:paraId="2ACA4757">
            <w:pPr>
              <w:spacing w:line="360" w:lineRule="auto"/>
              <w:jc w:val="center"/>
              <w:rPr>
                <w:rFonts w:ascii="Times New Roman" w:hAnsi="Times New Roman"/>
                <w:szCs w:val="21"/>
              </w:rPr>
            </w:pPr>
            <w:r>
              <w:rPr>
                <w:rFonts w:hint="eastAsia" w:ascii="Times New Roman" w:hAnsi="Times New Roman"/>
                <w:szCs w:val="21"/>
              </w:rPr>
              <w:t>14249</w:t>
            </w:r>
          </w:p>
        </w:tc>
        <w:tc>
          <w:tcPr>
            <w:tcW w:w="2406" w:type="dxa"/>
          </w:tcPr>
          <w:p w14:paraId="2D1FACA6">
            <w:pPr>
              <w:spacing w:line="360" w:lineRule="auto"/>
              <w:jc w:val="center"/>
              <w:rPr>
                <w:rFonts w:ascii="Times New Roman" w:hAnsi="Times New Roman"/>
                <w:szCs w:val="21"/>
              </w:rPr>
            </w:pPr>
            <w:r>
              <w:rPr>
                <w:rFonts w:hint="eastAsia" w:ascii="Times New Roman" w:hAnsi="Times New Roman"/>
                <w:szCs w:val="21"/>
              </w:rPr>
              <w:t>14249</w:t>
            </w:r>
          </w:p>
        </w:tc>
      </w:tr>
      <w:tr w14:paraId="42118035">
        <w:tblPrEx>
          <w:tblCellMar>
            <w:top w:w="0" w:type="dxa"/>
            <w:left w:w="108" w:type="dxa"/>
            <w:bottom w:w="0" w:type="dxa"/>
            <w:right w:w="108" w:type="dxa"/>
          </w:tblCellMar>
        </w:tblPrEx>
        <w:trPr>
          <w:trHeight w:val="357" w:hRule="atLeast"/>
          <w:jc w:val="center"/>
        </w:trPr>
        <w:tc>
          <w:tcPr>
            <w:tcW w:w="1095" w:type="dxa"/>
          </w:tcPr>
          <w:p w14:paraId="1DCD823C">
            <w:pPr>
              <w:spacing w:line="360" w:lineRule="auto"/>
              <w:jc w:val="center"/>
              <w:rPr>
                <w:rFonts w:ascii="Times New Roman" w:hAnsi="Times New Roman"/>
                <w:szCs w:val="21"/>
              </w:rPr>
            </w:pPr>
            <w:r>
              <w:rPr>
                <w:rFonts w:hint="eastAsia" w:ascii="Times New Roman" w:hAnsi="Times New Roman"/>
                <w:szCs w:val="21"/>
              </w:rPr>
              <w:t>基因数量</w:t>
            </w:r>
          </w:p>
        </w:tc>
        <w:tc>
          <w:tcPr>
            <w:tcW w:w="2406" w:type="dxa"/>
          </w:tcPr>
          <w:p w14:paraId="7009EFD7">
            <w:pPr>
              <w:spacing w:line="360" w:lineRule="auto"/>
              <w:jc w:val="center"/>
              <w:rPr>
                <w:rFonts w:ascii="Times New Roman" w:hAnsi="Times New Roman"/>
                <w:szCs w:val="21"/>
              </w:rPr>
            </w:pPr>
            <w:r>
              <w:rPr>
                <w:rFonts w:hint="eastAsia" w:ascii="Times New Roman" w:hAnsi="Times New Roman"/>
                <w:szCs w:val="21"/>
              </w:rPr>
              <w:t>34041</w:t>
            </w:r>
          </w:p>
        </w:tc>
        <w:tc>
          <w:tcPr>
            <w:tcW w:w="2406" w:type="dxa"/>
          </w:tcPr>
          <w:p w14:paraId="48430636">
            <w:pPr>
              <w:spacing w:line="360" w:lineRule="auto"/>
              <w:jc w:val="center"/>
              <w:rPr>
                <w:rFonts w:ascii="Times New Roman" w:hAnsi="Times New Roman"/>
                <w:szCs w:val="21"/>
              </w:rPr>
            </w:pPr>
            <w:r>
              <w:rPr>
                <w:rFonts w:hint="eastAsia" w:ascii="Times New Roman" w:hAnsi="Times New Roman"/>
                <w:szCs w:val="21"/>
              </w:rPr>
              <w:t>34041</w:t>
            </w:r>
          </w:p>
        </w:tc>
      </w:tr>
      <w:tr w14:paraId="0D942234">
        <w:tblPrEx>
          <w:tblCellMar>
            <w:top w:w="0" w:type="dxa"/>
            <w:left w:w="108" w:type="dxa"/>
            <w:bottom w:w="0" w:type="dxa"/>
            <w:right w:w="108" w:type="dxa"/>
          </w:tblCellMar>
        </w:tblPrEx>
        <w:trPr>
          <w:trHeight w:val="357" w:hRule="atLeast"/>
          <w:jc w:val="center"/>
        </w:trPr>
        <w:tc>
          <w:tcPr>
            <w:tcW w:w="1095" w:type="dxa"/>
            <w:tcBorders>
              <w:bottom w:val="single" w:color="auto" w:sz="8" w:space="0"/>
            </w:tcBorders>
          </w:tcPr>
          <w:p w14:paraId="51584D45">
            <w:pPr>
              <w:spacing w:line="360" w:lineRule="auto"/>
              <w:jc w:val="center"/>
              <w:rPr>
                <w:rFonts w:ascii="Times New Roman" w:hAnsi="Times New Roman"/>
                <w:szCs w:val="21"/>
              </w:rPr>
            </w:pPr>
            <w:r>
              <w:rPr>
                <w:rFonts w:hint="eastAsia" w:ascii="Times New Roman" w:hAnsi="Times New Roman"/>
                <w:szCs w:val="21"/>
              </w:rPr>
              <w:t>类别</w:t>
            </w:r>
          </w:p>
        </w:tc>
        <w:tc>
          <w:tcPr>
            <w:tcW w:w="2406" w:type="dxa"/>
            <w:tcBorders>
              <w:bottom w:val="single" w:color="auto" w:sz="8" w:space="0"/>
            </w:tcBorders>
          </w:tcPr>
          <w:p w14:paraId="43992BC7">
            <w:pPr>
              <w:spacing w:line="360" w:lineRule="auto"/>
              <w:jc w:val="center"/>
              <w:rPr>
                <w:rFonts w:ascii="Times New Roman" w:hAnsi="Times New Roman"/>
                <w:szCs w:val="21"/>
              </w:rPr>
            </w:pPr>
            <w:r>
              <w:rPr>
                <w:rFonts w:hint="eastAsia" w:ascii="Times New Roman" w:hAnsi="Times New Roman"/>
                <w:szCs w:val="21"/>
              </w:rPr>
              <w:t>15</w:t>
            </w:r>
          </w:p>
        </w:tc>
        <w:tc>
          <w:tcPr>
            <w:tcW w:w="2406" w:type="dxa"/>
            <w:tcBorders>
              <w:bottom w:val="single" w:color="auto" w:sz="6" w:space="0"/>
            </w:tcBorders>
          </w:tcPr>
          <w:p w14:paraId="663157B8">
            <w:pPr>
              <w:spacing w:line="360" w:lineRule="auto"/>
              <w:jc w:val="center"/>
              <w:rPr>
                <w:rFonts w:ascii="Times New Roman" w:hAnsi="Times New Roman"/>
                <w:szCs w:val="21"/>
              </w:rPr>
            </w:pPr>
            <w:r>
              <w:rPr>
                <w:rFonts w:hint="eastAsia" w:ascii="Times New Roman" w:hAnsi="Times New Roman"/>
                <w:szCs w:val="21"/>
              </w:rPr>
              <w:t>15</w:t>
            </w:r>
          </w:p>
        </w:tc>
      </w:tr>
      <w:tr w14:paraId="585FA6BB">
        <w:tblPrEx>
          <w:tblCellMar>
            <w:top w:w="0" w:type="dxa"/>
            <w:left w:w="108" w:type="dxa"/>
            <w:bottom w:w="0" w:type="dxa"/>
            <w:right w:w="108" w:type="dxa"/>
          </w:tblCellMar>
        </w:tblPrEx>
        <w:trPr>
          <w:trHeight w:val="357" w:hRule="atLeast"/>
          <w:jc w:val="center"/>
        </w:trPr>
        <w:tc>
          <w:tcPr>
            <w:tcW w:w="5907" w:type="dxa"/>
            <w:gridSpan w:val="3"/>
            <w:tcBorders>
              <w:top w:val="single" w:color="auto" w:sz="6" w:space="0"/>
              <w:bottom w:val="single" w:color="auto" w:sz="4" w:space="0"/>
            </w:tcBorders>
          </w:tcPr>
          <w:p w14:paraId="58413373">
            <w:pPr>
              <w:spacing w:line="360" w:lineRule="auto"/>
              <w:jc w:val="center"/>
              <w:rPr>
                <w:rFonts w:ascii="Times New Roman" w:hAnsi="Times New Roman"/>
                <w:szCs w:val="21"/>
              </w:rPr>
            </w:pPr>
            <w:r>
              <w:rPr>
                <w:rFonts w:hint="eastAsia" w:ascii="Times New Roman" w:hAnsi="Times New Roman"/>
                <w:szCs w:val="21"/>
              </w:rPr>
              <w:t>表3.2 空间转录组学数据集</w:t>
            </w:r>
          </w:p>
        </w:tc>
      </w:tr>
      <w:tr w14:paraId="27036763">
        <w:tblPrEx>
          <w:tblCellMar>
            <w:top w:w="0" w:type="dxa"/>
            <w:left w:w="108" w:type="dxa"/>
            <w:bottom w:w="0" w:type="dxa"/>
            <w:right w:w="108" w:type="dxa"/>
          </w:tblCellMar>
        </w:tblPrEx>
        <w:trPr>
          <w:trHeight w:val="357" w:hRule="atLeast"/>
          <w:jc w:val="center"/>
        </w:trPr>
        <w:tc>
          <w:tcPr>
            <w:tcW w:w="1095" w:type="dxa"/>
            <w:tcBorders>
              <w:top w:val="single" w:color="auto" w:sz="12" w:space="0"/>
              <w:bottom w:val="single" w:color="auto" w:sz="2" w:space="0"/>
            </w:tcBorders>
          </w:tcPr>
          <w:p w14:paraId="305FD8A8">
            <w:pPr>
              <w:spacing w:line="360" w:lineRule="auto"/>
              <w:jc w:val="center"/>
              <w:rPr>
                <w:rFonts w:ascii="Times New Roman" w:hAnsi="Times New Roman"/>
                <w:szCs w:val="21"/>
              </w:rPr>
            </w:pPr>
            <w:r>
              <w:rPr>
                <w:rFonts w:hint="eastAsia" w:ascii="Times New Roman" w:hAnsi="Times New Roman"/>
                <w:szCs w:val="21"/>
              </w:rPr>
              <w:t>名称</w:t>
            </w:r>
          </w:p>
        </w:tc>
        <w:tc>
          <w:tcPr>
            <w:tcW w:w="2406" w:type="dxa"/>
            <w:tcBorders>
              <w:top w:val="single" w:color="auto" w:sz="12" w:space="0"/>
              <w:bottom w:val="single" w:color="auto" w:sz="2" w:space="0"/>
            </w:tcBorders>
          </w:tcPr>
          <w:p w14:paraId="68078430">
            <w:pPr>
              <w:spacing w:line="360" w:lineRule="auto"/>
              <w:jc w:val="center"/>
              <w:rPr>
                <w:rFonts w:ascii="Times New Roman" w:hAnsi="Times New Roman"/>
                <w:szCs w:val="21"/>
              </w:rPr>
            </w:pPr>
            <w:bookmarkStart w:id="13" w:name="OLE_LINK45"/>
            <w:r>
              <w:rPr>
                <w:rFonts w:ascii="Times New Roman" w:hAnsi="Times New Roman"/>
                <w:szCs w:val="21"/>
              </w:rPr>
              <w:t>ExSeq</w:t>
            </w:r>
            <w:bookmarkEnd w:id="13"/>
            <w:r>
              <w:rPr>
                <w:rFonts w:ascii="Times New Roman" w:hAnsi="Times New Roman"/>
                <w:szCs w:val="21"/>
                <w:vertAlign w:val="superscript"/>
              </w:rPr>
              <w:fldChar w:fldCharType="begin"/>
            </w:r>
            <w:r>
              <w:rPr>
                <w:rFonts w:ascii="Times New Roman" w:hAnsi="Times New Roman"/>
                <w:szCs w:val="21"/>
                <w:vertAlign w:val="superscript"/>
              </w:rPr>
              <w:instrText xml:space="preserve"> REF _Ref202191788 \r \h  \* MERGEFORMAT </w:instrText>
            </w:r>
            <w:r>
              <w:rPr>
                <w:rFonts w:ascii="Times New Roman" w:hAnsi="Times New Roman"/>
                <w:szCs w:val="21"/>
                <w:vertAlign w:val="superscript"/>
              </w:rPr>
              <w:fldChar w:fldCharType="separate"/>
            </w:r>
            <w:r>
              <w:rPr>
                <w:rFonts w:ascii="Times New Roman" w:hAnsi="Times New Roman"/>
                <w:szCs w:val="21"/>
                <w:vertAlign w:val="superscript"/>
              </w:rPr>
              <w:t>[45]</w:t>
            </w:r>
            <w:r>
              <w:rPr>
                <w:rFonts w:ascii="Times New Roman" w:hAnsi="Times New Roman"/>
                <w:szCs w:val="21"/>
                <w:vertAlign w:val="superscript"/>
              </w:rPr>
              <w:fldChar w:fldCharType="end"/>
            </w:r>
          </w:p>
        </w:tc>
        <w:tc>
          <w:tcPr>
            <w:tcW w:w="2406" w:type="dxa"/>
            <w:tcBorders>
              <w:top w:val="single" w:color="auto" w:sz="12" w:space="0"/>
              <w:bottom w:val="single" w:color="auto" w:sz="2" w:space="0"/>
            </w:tcBorders>
          </w:tcPr>
          <w:p w14:paraId="03672502">
            <w:pPr>
              <w:spacing w:line="360" w:lineRule="auto"/>
              <w:jc w:val="center"/>
              <w:rPr>
                <w:rFonts w:ascii="Times New Roman" w:hAnsi="Times New Roman"/>
                <w:szCs w:val="21"/>
              </w:rPr>
            </w:pPr>
            <w:bookmarkStart w:id="14" w:name="OLE_LINK47"/>
            <w:r>
              <w:rPr>
                <w:rFonts w:hint="eastAsia" w:ascii="Times New Roman" w:hAnsi="Times New Roman"/>
                <w:szCs w:val="21"/>
              </w:rPr>
              <w:t>seqFISH+</w:t>
            </w:r>
            <w:bookmarkEnd w:id="14"/>
            <w:r>
              <w:rPr>
                <w:rFonts w:ascii="Times New Roman" w:hAnsi="Times New Roman"/>
                <w:szCs w:val="21"/>
                <w:vertAlign w:val="superscript"/>
              </w:rPr>
              <w:fldChar w:fldCharType="begin"/>
            </w:r>
            <w:r>
              <w:rPr>
                <w:rFonts w:ascii="Times New Roman" w:hAnsi="Times New Roman"/>
                <w:szCs w:val="21"/>
                <w:vertAlign w:val="superscript"/>
              </w:rPr>
              <w:instrText xml:space="preserve"> </w:instrText>
            </w:r>
            <w:r>
              <w:rPr>
                <w:rFonts w:hint="eastAsia" w:ascii="Times New Roman" w:hAnsi="Times New Roman"/>
                <w:szCs w:val="21"/>
                <w:vertAlign w:val="superscript"/>
              </w:rPr>
              <w:instrText xml:space="preserve">REF _Ref202191914 \r \h</w:instrText>
            </w:r>
            <w:r>
              <w:rPr>
                <w:rFonts w:ascii="Times New Roman" w:hAnsi="Times New Roman"/>
                <w:szCs w:val="21"/>
                <w:vertAlign w:val="superscript"/>
              </w:rPr>
              <w:instrText xml:space="preserve">  \* MERGEFORMAT </w:instrText>
            </w:r>
            <w:r>
              <w:rPr>
                <w:rFonts w:ascii="Times New Roman" w:hAnsi="Times New Roman"/>
                <w:szCs w:val="21"/>
                <w:vertAlign w:val="superscript"/>
              </w:rPr>
              <w:fldChar w:fldCharType="separate"/>
            </w:r>
            <w:r>
              <w:rPr>
                <w:rFonts w:ascii="Times New Roman" w:hAnsi="Times New Roman"/>
                <w:szCs w:val="21"/>
                <w:vertAlign w:val="superscript"/>
              </w:rPr>
              <w:t>[46]</w:t>
            </w:r>
            <w:r>
              <w:rPr>
                <w:rFonts w:ascii="Times New Roman" w:hAnsi="Times New Roman"/>
                <w:szCs w:val="21"/>
                <w:vertAlign w:val="superscript"/>
              </w:rPr>
              <w:fldChar w:fldCharType="end"/>
            </w:r>
          </w:p>
        </w:tc>
      </w:tr>
      <w:tr w14:paraId="18E170D1">
        <w:tblPrEx>
          <w:tblCellMar>
            <w:top w:w="0" w:type="dxa"/>
            <w:left w:w="108" w:type="dxa"/>
            <w:bottom w:w="0" w:type="dxa"/>
            <w:right w:w="108" w:type="dxa"/>
          </w:tblCellMar>
        </w:tblPrEx>
        <w:trPr>
          <w:trHeight w:val="357" w:hRule="atLeast"/>
          <w:jc w:val="center"/>
        </w:trPr>
        <w:tc>
          <w:tcPr>
            <w:tcW w:w="1095" w:type="dxa"/>
            <w:tcBorders>
              <w:top w:val="single" w:color="auto" w:sz="2" w:space="0"/>
            </w:tcBorders>
          </w:tcPr>
          <w:p w14:paraId="48A21A81">
            <w:pPr>
              <w:spacing w:line="360" w:lineRule="auto"/>
              <w:jc w:val="center"/>
              <w:rPr>
                <w:rFonts w:ascii="Times New Roman" w:hAnsi="Times New Roman"/>
                <w:szCs w:val="21"/>
              </w:rPr>
            </w:pPr>
            <w:r>
              <w:rPr>
                <w:rFonts w:hint="eastAsia" w:ascii="Times New Roman" w:hAnsi="Times New Roman"/>
                <w:szCs w:val="21"/>
              </w:rPr>
              <w:t>组织</w:t>
            </w:r>
          </w:p>
        </w:tc>
        <w:tc>
          <w:tcPr>
            <w:tcW w:w="2406" w:type="dxa"/>
            <w:tcBorders>
              <w:top w:val="single" w:color="auto" w:sz="2" w:space="0"/>
            </w:tcBorders>
          </w:tcPr>
          <w:p w14:paraId="0DDFA307">
            <w:pPr>
              <w:spacing w:line="360" w:lineRule="auto"/>
              <w:jc w:val="center"/>
              <w:rPr>
                <w:rFonts w:ascii="Times New Roman" w:hAnsi="Times New Roman"/>
                <w:szCs w:val="21"/>
              </w:rPr>
            </w:pPr>
            <w:r>
              <w:rPr>
                <w:rFonts w:ascii="Times New Roman" w:hAnsi="Times New Roman"/>
                <w:szCs w:val="21"/>
              </w:rPr>
              <w:t>Mouse Primary visual cortex (VISp)</w:t>
            </w:r>
          </w:p>
        </w:tc>
        <w:tc>
          <w:tcPr>
            <w:tcW w:w="2406" w:type="dxa"/>
            <w:tcBorders>
              <w:top w:val="single" w:color="auto" w:sz="2" w:space="0"/>
            </w:tcBorders>
          </w:tcPr>
          <w:p w14:paraId="577E070D">
            <w:pPr>
              <w:spacing w:line="360" w:lineRule="auto"/>
              <w:jc w:val="center"/>
              <w:rPr>
                <w:rFonts w:ascii="Times New Roman" w:hAnsi="Times New Roman"/>
                <w:szCs w:val="21"/>
              </w:rPr>
            </w:pPr>
            <w:r>
              <w:rPr>
                <w:rFonts w:ascii="Times New Roman" w:hAnsi="Times New Roman"/>
                <w:szCs w:val="21"/>
              </w:rPr>
              <w:t>Mouse</w:t>
            </w:r>
            <w:r>
              <w:rPr>
                <w:rFonts w:hint="eastAsia" w:ascii="Times New Roman" w:hAnsi="Times New Roman"/>
                <w:szCs w:val="21"/>
              </w:rPr>
              <w:t xml:space="preserve"> C</w:t>
            </w:r>
            <w:r>
              <w:rPr>
                <w:rFonts w:ascii="Times New Roman" w:hAnsi="Times New Roman"/>
                <w:szCs w:val="21"/>
              </w:rPr>
              <w:t xml:space="preserve">ortex </w:t>
            </w:r>
          </w:p>
        </w:tc>
      </w:tr>
      <w:tr w14:paraId="0E433E9D">
        <w:tblPrEx>
          <w:tblCellMar>
            <w:top w:w="0" w:type="dxa"/>
            <w:left w:w="108" w:type="dxa"/>
            <w:bottom w:w="0" w:type="dxa"/>
            <w:right w:w="108" w:type="dxa"/>
          </w:tblCellMar>
        </w:tblPrEx>
        <w:trPr>
          <w:trHeight w:val="357" w:hRule="atLeast"/>
          <w:jc w:val="center"/>
        </w:trPr>
        <w:tc>
          <w:tcPr>
            <w:tcW w:w="1095" w:type="dxa"/>
          </w:tcPr>
          <w:p w14:paraId="1BB1B567">
            <w:pPr>
              <w:spacing w:line="360" w:lineRule="auto"/>
              <w:jc w:val="center"/>
              <w:rPr>
                <w:rFonts w:ascii="Times New Roman" w:hAnsi="Times New Roman"/>
                <w:szCs w:val="21"/>
              </w:rPr>
            </w:pPr>
            <w:r>
              <w:rPr>
                <w:rFonts w:hint="eastAsia" w:ascii="Times New Roman" w:hAnsi="Times New Roman"/>
                <w:szCs w:val="21"/>
              </w:rPr>
              <w:t>spot数量</w:t>
            </w:r>
          </w:p>
        </w:tc>
        <w:tc>
          <w:tcPr>
            <w:tcW w:w="2406" w:type="dxa"/>
          </w:tcPr>
          <w:p w14:paraId="0B890218">
            <w:pPr>
              <w:spacing w:line="360" w:lineRule="auto"/>
              <w:jc w:val="center"/>
              <w:rPr>
                <w:rFonts w:ascii="Times New Roman" w:hAnsi="Times New Roman"/>
                <w:szCs w:val="21"/>
              </w:rPr>
            </w:pPr>
            <w:r>
              <w:rPr>
                <w:rFonts w:ascii="Times New Roman" w:hAnsi="Times New Roman"/>
                <w:szCs w:val="21"/>
              </w:rPr>
              <w:t>1154</w:t>
            </w:r>
          </w:p>
        </w:tc>
        <w:tc>
          <w:tcPr>
            <w:tcW w:w="2406" w:type="dxa"/>
          </w:tcPr>
          <w:p w14:paraId="222205BF">
            <w:pPr>
              <w:spacing w:line="360" w:lineRule="auto"/>
              <w:jc w:val="center"/>
              <w:rPr>
                <w:rFonts w:ascii="Times New Roman" w:hAnsi="Times New Roman"/>
                <w:szCs w:val="21"/>
              </w:rPr>
            </w:pPr>
            <w:r>
              <w:rPr>
                <w:rFonts w:hint="eastAsia" w:ascii="Times New Roman" w:hAnsi="Times New Roman"/>
                <w:szCs w:val="21"/>
              </w:rPr>
              <w:t>523</w:t>
            </w:r>
          </w:p>
        </w:tc>
      </w:tr>
      <w:tr w14:paraId="28FED7EF">
        <w:tblPrEx>
          <w:tblCellMar>
            <w:top w:w="0" w:type="dxa"/>
            <w:left w:w="108" w:type="dxa"/>
            <w:bottom w:w="0" w:type="dxa"/>
            <w:right w:w="108" w:type="dxa"/>
          </w:tblCellMar>
        </w:tblPrEx>
        <w:trPr>
          <w:trHeight w:val="357" w:hRule="atLeast"/>
          <w:jc w:val="center"/>
        </w:trPr>
        <w:tc>
          <w:tcPr>
            <w:tcW w:w="1095" w:type="dxa"/>
          </w:tcPr>
          <w:p w14:paraId="44C5D8CA">
            <w:pPr>
              <w:spacing w:line="360" w:lineRule="auto"/>
              <w:jc w:val="center"/>
              <w:rPr>
                <w:rFonts w:ascii="Times New Roman" w:hAnsi="Times New Roman"/>
                <w:szCs w:val="21"/>
              </w:rPr>
            </w:pPr>
            <w:r>
              <w:rPr>
                <w:rFonts w:hint="eastAsia" w:ascii="Times New Roman" w:hAnsi="Times New Roman"/>
                <w:szCs w:val="21"/>
              </w:rPr>
              <w:t>基因数量</w:t>
            </w:r>
          </w:p>
        </w:tc>
        <w:tc>
          <w:tcPr>
            <w:tcW w:w="2406" w:type="dxa"/>
          </w:tcPr>
          <w:p w14:paraId="751A895B">
            <w:pPr>
              <w:spacing w:line="360" w:lineRule="auto"/>
              <w:jc w:val="center"/>
              <w:rPr>
                <w:rFonts w:ascii="Times New Roman" w:hAnsi="Times New Roman"/>
                <w:szCs w:val="21"/>
              </w:rPr>
            </w:pPr>
            <w:r>
              <w:rPr>
                <w:rFonts w:hint="eastAsia" w:ascii="Times New Roman" w:hAnsi="Times New Roman"/>
                <w:szCs w:val="21"/>
              </w:rPr>
              <w:t>42</w:t>
            </w:r>
          </w:p>
        </w:tc>
        <w:tc>
          <w:tcPr>
            <w:tcW w:w="2406" w:type="dxa"/>
          </w:tcPr>
          <w:p w14:paraId="16146F4F">
            <w:pPr>
              <w:spacing w:line="360" w:lineRule="auto"/>
              <w:jc w:val="center"/>
              <w:rPr>
                <w:rFonts w:ascii="Times New Roman" w:hAnsi="Times New Roman"/>
                <w:szCs w:val="21"/>
              </w:rPr>
            </w:pPr>
            <w:r>
              <w:rPr>
                <w:rFonts w:hint="eastAsia" w:ascii="Times New Roman" w:hAnsi="Times New Roman"/>
                <w:szCs w:val="21"/>
              </w:rPr>
              <w:t>10000</w:t>
            </w:r>
          </w:p>
        </w:tc>
      </w:tr>
      <w:tr w14:paraId="478917C2">
        <w:tblPrEx>
          <w:tblCellMar>
            <w:top w:w="0" w:type="dxa"/>
            <w:left w:w="108" w:type="dxa"/>
            <w:bottom w:w="0" w:type="dxa"/>
            <w:right w:w="108" w:type="dxa"/>
          </w:tblCellMar>
        </w:tblPrEx>
        <w:trPr>
          <w:trHeight w:val="357" w:hRule="atLeast"/>
          <w:jc w:val="center"/>
        </w:trPr>
        <w:tc>
          <w:tcPr>
            <w:tcW w:w="1095" w:type="dxa"/>
            <w:tcBorders>
              <w:bottom w:val="single" w:color="auto" w:sz="8" w:space="0"/>
            </w:tcBorders>
          </w:tcPr>
          <w:p w14:paraId="53AEA212">
            <w:pPr>
              <w:spacing w:line="360" w:lineRule="auto"/>
              <w:jc w:val="center"/>
              <w:rPr>
                <w:rFonts w:ascii="Times New Roman" w:hAnsi="Times New Roman"/>
                <w:szCs w:val="21"/>
              </w:rPr>
            </w:pPr>
            <w:r>
              <w:rPr>
                <w:rFonts w:hint="eastAsia" w:ascii="Times New Roman" w:hAnsi="Times New Roman"/>
                <w:szCs w:val="21"/>
              </w:rPr>
              <w:t>类别</w:t>
            </w:r>
          </w:p>
        </w:tc>
        <w:tc>
          <w:tcPr>
            <w:tcW w:w="2406" w:type="dxa"/>
            <w:tcBorders>
              <w:bottom w:val="single" w:color="auto" w:sz="8" w:space="0"/>
            </w:tcBorders>
          </w:tcPr>
          <w:p w14:paraId="6D8C79DB">
            <w:pPr>
              <w:spacing w:line="360" w:lineRule="auto"/>
              <w:jc w:val="center"/>
              <w:rPr>
                <w:rFonts w:ascii="Times New Roman" w:hAnsi="Times New Roman"/>
                <w:szCs w:val="21"/>
              </w:rPr>
            </w:pPr>
            <w:r>
              <w:rPr>
                <w:rFonts w:hint="eastAsia" w:ascii="Times New Roman" w:hAnsi="Times New Roman"/>
                <w:szCs w:val="21"/>
              </w:rPr>
              <w:t>15</w:t>
            </w:r>
          </w:p>
        </w:tc>
        <w:tc>
          <w:tcPr>
            <w:tcW w:w="2406" w:type="dxa"/>
            <w:tcBorders>
              <w:bottom w:val="single" w:color="auto" w:sz="8" w:space="0"/>
            </w:tcBorders>
          </w:tcPr>
          <w:p w14:paraId="412BC749">
            <w:pPr>
              <w:spacing w:line="360" w:lineRule="auto"/>
              <w:jc w:val="center"/>
              <w:rPr>
                <w:rFonts w:ascii="Times New Roman" w:hAnsi="Times New Roman"/>
                <w:szCs w:val="21"/>
              </w:rPr>
            </w:pPr>
            <w:r>
              <w:rPr>
                <w:rFonts w:hint="eastAsia" w:ascii="Times New Roman" w:hAnsi="Times New Roman"/>
                <w:szCs w:val="21"/>
              </w:rPr>
              <w:t>15</w:t>
            </w:r>
          </w:p>
        </w:tc>
      </w:tr>
    </w:tbl>
    <w:p w14:paraId="6E8FAFD3">
      <w:pPr>
        <w:pStyle w:val="4"/>
        <w:spacing w:before="120" w:after="120" w:line="300" w:lineRule="auto"/>
        <w:jc w:val="left"/>
        <w:rPr>
          <w:rFonts w:hint="eastAsia" w:ascii="宋体" w:hAnsi="宋体" w:eastAsia="宋体" w:cs="宋体"/>
          <w:b w:val="0"/>
          <w:bCs w:val="0"/>
          <w:sz w:val="24"/>
          <w:szCs w:val="24"/>
          <w:lang w:bidi="ar"/>
        </w:rPr>
      </w:pPr>
      <w:bookmarkStart w:id="15" w:name="OLE_LINK44"/>
      <w:r>
        <w:rPr>
          <w:rFonts w:ascii="宋体" w:hAnsi="宋体" w:eastAsia="宋体" w:cs="宋体"/>
          <w:b w:val="0"/>
          <w:bCs w:val="0"/>
          <w:sz w:val="24"/>
          <w:szCs w:val="24"/>
          <w:lang w:bidi="ar"/>
        </w:rPr>
        <w:t>3.2.1.2实验设置</w:t>
      </w:r>
    </w:p>
    <w:bookmarkEnd w:id="15"/>
    <w:p w14:paraId="19592725">
      <w:pPr>
        <w:autoSpaceDE w:val="0"/>
        <w:autoSpaceDN w:val="0"/>
        <w:adjustRightInd w:val="0"/>
        <w:snapToGrid w:val="0"/>
        <w:spacing w:before="120" w:line="360" w:lineRule="auto"/>
        <w:ind w:firstLine="480" w:firstLineChars="200"/>
        <w:rPr>
          <w:rFonts w:ascii="Times New Roman" w:hAnsi="Times New Roman"/>
          <w:sz w:val="24"/>
        </w:rPr>
      </w:pPr>
      <w:r>
        <w:rPr>
          <w:rFonts w:hint="eastAsia" w:ascii="Times New Roman" w:hAnsi="Times New Roman"/>
          <w:sz w:val="24"/>
        </w:rPr>
        <w:t>在构图时将k、p和q都设置为20，图对比任务时使用学习率为1e-3的Adam优化器，Dropout概率设为0.3，温度系数为0.1，最大迭代轮数为600</w:t>
      </w:r>
      <w:r>
        <w:rPr>
          <w:rFonts w:ascii="Times New Roman" w:hAnsi="Times New Roman"/>
          <w:sz w:val="24"/>
        </w:rPr>
        <w:t>，</w:t>
      </w:r>
      <w:r>
        <w:rPr>
          <w:rFonts w:hint="eastAsia" w:ascii="Times New Roman" w:hAnsi="Times New Roman"/>
          <w:sz w:val="24"/>
        </w:rPr>
        <w:t>在550轮后权重衰减为5e-5，用于L2正则化，防止过拟合，损失函数权重设置</w:t>
      </w:r>
      <m:oMath>
        <m:r>
          <m:rPr/>
          <w:rPr>
            <w:rFonts w:ascii="Cambria Math" w:hAnsi="Cambria Math"/>
            <w:sz w:val="24"/>
          </w:rPr>
          <m:t>α</m:t>
        </m:r>
      </m:oMath>
      <w:r>
        <w:rPr>
          <w:rFonts w:hint="eastAsia" w:ascii="Times New Roman" w:hAnsi="Times New Roman"/>
          <w:sz w:val="24"/>
        </w:rPr>
        <w:t>为0.1，</w:t>
      </w:r>
      <m:oMath>
        <m:r>
          <m:rPr/>
          <w:rPr>
            <w:rFonts w:ascii="Cambria Math" w:hAnsi="Cambria Math"/>
            <w:sz w:val="24"/>
          </w:rPr>
          <m:t>β</m:t>
        </m:r>
      </m:oMath>
      <w:r>
        <w:rPr>
          <w:rFonts w:hint="eastAsia" w:ascii="Times New Roman" w:hAnsi="Times New Roman"/>
          <w:sz w:val="24"/>
        </w:rPr>
        <w:t>为2.0，当验证损失连续80轮无改善时停止训练。</w:t>
      </w:r>
    </w:p>
    <w:p w14:paraId="0C3F62BA">
      <w:pPr>
        <w:pStyle w:val="4"/>
        <w:spacing w:before="120" w:after="120" w:line="300" w:lineRule="auto"/>
        <w:jc w:val="left"/>
        <w:rPr>
          <w:rFonts w:hint="eastAsia" w:ascii="宋体" w:hAnsi="宋体" w:eastAsia="宋体" w:cs="宋体"/>
          <w:b w:val="0"/>
          <w:bCs w:val="0"/>
          <w:sz w:val="24"/>
          <w:szCs w:val="24"/>
          <w:lang w:bidi="ar"/>
        </w:rPr>
      </w:pPr>
      <w:r>
        <w:rPr>
          <w:rFonts w:ascii="宋体" w:hAnsi="宋体" w:eastAsia="宋体" w:cs="宋体"/>
          <w:b w:val="0"/>
          <w:bCs w:val="0"/>
          <w:sz w:val="24"/>
          <w:szCs w:val="24"/>
          <w:lang w:bidi="ar"/>
        </w:rPr>
        <w:t>3.2.1.</w:t>
      </w:r>
      <w:r>
        <w:rPr>
          <w:rFonts w:hint="eastAsia" w:ascii="宋体" w:hAnsi="宋体" w:eastAsia="宋体" w:cs="宋体"/>
          <w:b w:val="0"/>
          <w:bCs w:val="0"/>
          <w:sz w:val="24"/>
          <w:szCs w:val="24"/>
          <w:lang w:bidi="ar"/>
        </w:rPr>
        <w:t>3评价指标</w:t>
      </w:r>
    </w:p>
    <w:p w14:paraId="76BB3A75">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为了评估GCIRS的性能，使用了以下五个指标</w:t>
      </w:r>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_Ref202173701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[37]</w:t>
      </w:r>
      <w:r>
        <w:rPr>
          <w:rFonts w:ascii="Times New Roman" w:hAnsi="Times New Roman"/>
          <w:sz w:val="24"/>
          <w:vertAlign w:val="superscript"/>
        </w:rPr>
        <w:fldChar w:fldCharType="end"/>
      </w:r>
      <w:r>
        <w:rPr>
          <w:rFonts w:hint="eastAsia" w:ascii="Times New Roman" w:hAnsi="Times New Roman"/>
          <w:sz w:val="24"/>
        </w:rPr>
        <w:t>来评估每种方法。</w:t>
      </w:r>
    </w:p>
    <w:p w14:paraId="07BE7FE3">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（1）PCC。PCC值使用以下公式计算：</w:t>
      </w:r>
    </w:p>
    <w:p w14:paraId="323CD1CD">
      <w:pPr>
        <w:autoSpaceDE w:val="0"/>
        <w:autoSpaceDN w:val="0"/>
        <w:adjustRightInd w:val="0"/>
        <w:spacing w:before="120" w:line="360" w:lineRule="auto"/>
        <w:ind w:firstLine="480" w:firstLineChars="200"/>
        <w:rPr>
          <w:rFonts w:ascii="Times New Roman" w:hAnsi="Times New Roman"/>
          <w:sz w:val="24"/>
        </w:rPr>
      </w:pPr>
      <m:oMathPara>
        <m:oMath>
          <m:eqArr>
            <m:eqArrPr>
              <m:maxDist m:val="1"/>
              <m:ctrlPr>
                <w:rPr>
                  <w:rFonts w:ascii="Cambria Math" w:hAnsi="Cambria Math"/>
                  <w:sz w:val="24"/>
                </w:rPr>
              </m:ctrlPr>
            </m:eqArrPr>
            <m:e>
              <m:r>
                <m:rPr/>
                <w:rPr>
                  <w:rFonts w:ascii="Cambria Math" w:hAnsi="Cambria Math"/>
                  <w:sz w:val="24"/>
                </w:rPr>
                <m:t>PCC</m:t>
              </m:r>
              <m:r>
                <m:rPr>
                  <m:sty m:val="p"/>
                </m:rPr>
                <w:rPr>
                  <w:rFonts w:ascii="Cambria Math" w:hAnsi="Cambria Math"/>
                  <w:sz w:val="24"/>
                </w:rPr>
                <m:t>=</m:t>
              </m:r>
              <m:f>
                <m:fPr>
                  <m:ctrlPr>
                    <w:rPr>
                      <w:rFonts w:ascii="Cambria Math" w:hAnsi="Cambria Math"/>
                      <w:sz w:val="24"/>
                    </w:rPr>
                  </m:ctrlPr>
                </m:fPr>
                <m:num>
                  <m:r>
                    <m:rPr/>
                    <w:rPr>
                      <w:rFonts w:ascii="Cambria Math" w:hAnsi="Cambria Math"/>
                      <w:sz w:val="24"/>
                    </w:rPr>
                    <m:t>E</m:t>
                  </m:r>
                  <m:d>
                    <m:dPr>
                      <m:begChr m:val="["/>
                      <m:endChr m:val="]"/>
                      <m:ctrlPr>
                        <w:rPr>
                          <w:rFonts w:ascii="Cambria Math" w:hAnsi="Cambria Math"/>
                          <w:sz w:val="24"/>
                        </w:rPr>
                      </m:ctrlPr>
                    </m:dPr>
                    <m:e>
                      <m:d>
                        <m:dPr>
                          <m:ctrlPr>
                            <w:rPr>
                              <w:rFonts w:ascii="Cambria Math" w:hAnsi="Cambria Math"/>
                              <w:sz w:val="24"/>
                            </w:rPr>
                          </m:ctrlPr>
                        </m:dPr>
                        <m:e>
                          <m:sSub>
                            <m:sSubPr>
                              <m:ctrlPr>
                                <w:rPr>
                                  <w:rFonts w:ascii="Cambria Math" w:hAnsi="Cambria Math"/>
                                  <w:sz w:val="24"/>
                                </w:rPr>
                              </m:ctrlPr>
                            </m:sSubPr>
                            <m:e>
                              <m:acc>
                                <m:accPr>
                                  <m:chr m:val="̃"/>
                                  <m:ctrlPr>
                                    <w:rPr>
                                      <w:rFonts w:ascii="Cambria Math" w:hAnsi="Cambria Math"/>
                                      <w:sz w:val="24"/>
                                    </w:rPr>
                                  </m:ctrlPr>
                                </m:accPr>
                                <m:e>
                                  <m:r>
                                    <m:rPr/>
                                    <w:rPr>
                                      <w:rFonts w:ascii="Cambria Math" w:hAnsi="Cambria Math"/>
                                      <w:sz w:val="24"/>
                                    </w:rPr>
                                    <m:t>x</m:t>
                                  </m:r>
                                  <m:ctrlPr>
                                    <w:rPr>
                                      <w:rFonts w:ascii="Cambria Math" w:hAnsi="Cambria Math"/>
                                      <w:sz w:val="24"/>
                                    </w:rPr>
                                  </m:ctrlPr>
                                </m:e>
                              </m:acc>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acc>
                                <m:accPr>
                                  <m:chr m:val="̃"/>
                                  <m:ctrlPr>
                                    <w:rPr>
                                      <w:rFonts w:ascii="Cambria Math" w:hAnsi="Cambria Math"/>
                                      <w:sz w:val="24"/>
                                    </w:rPr>
                                  </m:ctrlPr>
                                </m:accPr>
                                <m:e>
                                  <m:r>
                                    <m:rPr/>
                                    <w:rPr>
                                      <w:rFonts w:ascii="Cambria Math" w:hAnsi="Cambria Math"/>
                                      <w:sz w:val="24"/>
                                    </w:rPr>
                                    <m:t>u</m:t>
                                  </m:r>
                                  <m:ctrlPr>
                                    <w:rPr>
                                      <w:rFonts w:ascii="Cambria Math" w:hAnsi="Cambria Math"/>
                                      <w:sz w:val="24"/>
                                    </w:rPr>
                                  </m:ctrlPr>
                                </m:e>
                              </m:acc>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d>
                      <m:d>
                        <m:dPr>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e>
                      </m:d>
                      <m:ctrlPr>
                        <w:rPr>
                          <w:rFonts w:ascii="Cambria Math" w:hAnsi="Cambria Math"/>
                          <w:sz w:val="24"/>
                        </w:rPr>
                      </m:ctrlPr>
                    </m:e>
                  </m:d>
                  <m:ctrlPr>
                    <w:rPr>
                      <w:rFonts w:ascii="Cambria Math" w:hAnsi="Cambria Math"/>
                      <w:sz w:val="24"/>
                    </w:rPr>
                  </m:ctrlPr>
                </m:num>
                <m:den>
                  <m:sSub>
                    <m:sSubPr>
                      <m:ctrlPr>
                        <w:rPr>
                          <w:rFonts w:ascii="Cambria Math" w:hAnsi="Cambria Math"/>
                          <w:sz w:val="24"/>
                        </w:rPr>
                      </m:ctrlPr>
                    </m:sSubPr>
                    <m:e>
                      <m:acc>
                        <m:accPr>
                          <m:chr m:val="̃"/>
                          <m:ctrlPr>
                            <w:rPr>
                              <w:rFonts w:ascii="Cambria Math" w:hAnsi="Cambria Math"/>
                              <w:sz w:val="24"/>
                            </w:rPr>
                          </m:ctrlPr>
                        </m:accPr>
                        <m:e>
                          <m:r>
                            <m:rPr/>
                            <w:rPr>
                              <w:rFonts w:ascii="Cambria Math" w:hAnsi="Cambria Math"/>
                              <w:sz w:val="24"/>
                            </w:rPr>
                            <m:t>σ</m:t>
                          </m:r>
                          <m:ctrlPr>
                            <w:rPr>
                              <w:rFonts w:ascii="Cambria Math" w:hAnsi="Cambria Math"/>
                              <w:sz w:val="24"/>
                            </w:rPr>
                          </m:ctrlPr>
                        </m:e>
                      </m:acc>
                      <m:ctrlPr>
                        <w:rPr>
                          <w:rFonts w:ascii="Cambria Math" w:hAnsi="Cambria Math"/>
                          <w:sz w:val="24"/>
                        </w:rPr>
                      </m:ctrlPr>
                    </m:e>
                    <m:sub>
                      <m:r>
                        <m:rPr/>
                        <w:rPr>
                          <w:rFonts w:ascii="Cambria Math" w:hAnsi="Cambria Math"/>
                          <w:sz w:val="24"/>
                        </w:rPr>
                        <m:t>i</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den>
              </m:f>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3.17</m:t>
                  </m:r>
                  <m:ctrlPr>
                    <w:rPr>
                      <w:rFonts w:ascii="Cambria Math" w:hAnsi="Cambria Math"/>
                      <w:sz w:val="24"/>
                    </w:rPr>
                  </m:ctrlPr>
                </m:e>
              </m:d>
              <m:ctrlPr>
                <w:rPr>
                  <w:rFonts w:ascii="Cambria Math" w:hAnsi="Cambria Math"/>
                  <w:sz w:val="24"/>
                </w:rPr>
              </m:ctrlPr>
            </m:e>
          </m:eqArr>
        </m:oMath>
      </m:oMathPara>
    </w:p>
    <w:p w14:paraId="62497100">
      <w:pPr>
        <w:autoSpaceDE w:val="0"/>
        <w:autoSpaceDN w:val="0"/>
        <w:adjustRightInd w:val="0"/>
        <w:snapToGrid w:val="0"/>
        <w:spacing w:before="120" w:line="360" w:lineRule="auto"/>
        <w:ind w:firstLine="480" w:firstLineChars="200"/>
        <w:rPr>
          <w:rFonts w:ascii="Times New Roman" w:hAnsi="Times New Roman"/>
          <w:sz w:val="24"/>
        </w:rPr>
      </w:pPr>
      <w:r>
        <w:rPr>
          <w:rFonts w:ascii="Times New Roman" w:hAnsi="Times New Roman"/>
          <w:sz w:val="24"/>
        </w:rPr>
        <w:t>其中，</w:t>
      </w:r>
      <m:oMath>
        <m:sSub>
          <m:sSubPr>
            <m:ctrlPr>
              <w:rPr>
                <w:rFonts w:ascii="Cambria Math" w:hAnsi="Cambria Math"/>
                <w:sz w:val="24"/>
              </w:rPr>
            </m:ctrlPr>
          </m:sSubPr>
          <m:e>
            <m:r>
              <m:rPr/>
              <w:rPr>
                <w:rFonts w:hint="eastAsia"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ascii="Times New Roman" w:hAnsi="Times New Roman"/>
          <w:sz w:val="24"/>
        </w:rPr>
        <w:t>和</w:t>
      </w:r>
      <m:oMath>
        <m:sSub>
          <m:sSubPr>
            <m:ctrlPr>
              <w:rPr>
                <w:rFonts w:ascii="Cambria Math" w:hAnsi="Cambria Math"/>
                <w:sz w:val="24"/>
              </w:rPr>
            </m:ctrlPr>
          </m:sSubPr>
          <m:e>
            <m:limUpp>
              <m:limUppPr>
                <m:ctrlPr>
                  <w:rPr>
                    <w:rFonts w:ascii="Cambria Math" w:hAnsi="Cambria Math"/>
                    <w:sz w:val="24"/>
                  </w:rPr>
                </m:ctrlPr>
              </m:limUppPr>
              <m:e>
                <m:r>
                  <m:rPr>
                    <m:sty m:val="bi"/>
                  </m:rPr>
                  <w:rPr>
                    <w:rFonts w:ascii="Cambria Math" w:hAnsi="Cambria Math"/>
                    <w:sz w:val="24"/>
                  </w:rPr>
                  <m:t>x</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ascii="Times New Roman" w:hAnsi="Times New Roman"/>
          <w:sz w:val="24"/>
        </w:rPr>
        <w:t>分别表示基因</w:t>
      </w:r>
      <m:oMath>
        <m:r>
          <m:rPr/>
          <w:rPr>
            <w:rFonts w:ascii="Cambria Math" w:hAnsi="Cambria Math"/>
            <w:sz w:val="24"/>
          </w:rPr>
          <m:t>i</m:t>
        </m:r>
      </m:oMath>
      <w:r>
        <w:rPr>
          <w:rFonts w:ascii="Times New Roman" w:hAnsi="Times New Roman"/>
          <w:sz w:val="24"/>
        </w:rPr>
        <w:t>在真实情况和预测结果中的空间表达向量</w:t>
      </w:r>
      <w:r>
        <w:rPr>
          <w:rFonts w:hint="eastAsia" w:ascii="Times New Roman" w:hAnsi="Times New Roman"/>
          <w:sz w:val="24"/>
        </w:rPr>
        <w:t>，</w:t>
      </w:r>
      <m:oMath>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ascii="Times New Roman" w:hAnsi="Times New Roman"/>
          <w:sz w:val="24"/>
        </w:rPr>
        <w:t>和</w:t>
      </w:r>
      <m:oMath>
        <m:sSub>
          <m:sSubPr>
            <m:ctrlPr>
              <w:rPr>
                <w:rFonts w:ascii="Cambria Math" w:hAnsi="Cambria Math"/>
                <w:sz w:val="24"/>
              </w:rPr>
            </m:ctrlPr>
          </m:sSubPr>
          <m:e>
            <m:limUpp>
              <m:limUppPr>
                <m:ctrlPr>
                  <w:rPr>
                    <w:rFonts w:ascii="Cambria Math" w:hAnsi="Cambria Math"/>
                    <w:sz w:val="24"/>
                  </w:rPr>
                </m:ctrlPr>
              </m:limUppPr>
              <m:e>
                <m:r>
                  <m:rPr/>
                  <w:rPr>
                    <w:rFonts w:hint="eastAsia" w:ascii="Cambria Math" w:hAnsi="Cambria Math"/>
                    <w:sz w:val="24"/>
                  </w:rPr>
                  <m:t>u</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ascii="Times New Roman" w:hAnsi="Times New Roman"/>
          <w:sz w:val="24"/>
        </w:rPr>
        <w:t>分别表示基因</w:t>
      </w:r>
      <m:oMath>
        <m:r>
          <m:rPr/>
          <w:rPr>
            <w:rFonts w:ascii="Cambria Math" w:hAnsi="Cambria Math"/>
            <w:sz w:val="24"/>
          </w:rPr>
          <m:t>i</m:t>
        </m:r>
      </m:oMath>
      <w:r>
        <w:rPr>
          <w:rFonts w:ascii="Times New Roman" w:hAnsi="Times New Roman"/>
          <w:sz w:val="24"/>
        </w:rPr>
        <w:t>在真实情况和预测结果中的平均表达</w:t>
      </w:r>
      <w:r>
        <w:rPr>
          <w:rFonts w:hint="eastAsia" w:ascii="Times New Roman" w:hAnsi="Times New Roman"/>
          <w:sz w:val="24"/>
        </w:rPr>
        <w:t>，</w:t>
      </w:r>
      <m:oMath>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ascii="Times New Roman" w:hAnsi="Times New Roman"/>
          <w:sz w:val="24"/>
        </w:rPr>
        <w:t>和</w:t>
      </w:r>
      <m:oMath>
        <m:sSub>
          <m:sSubPr>
            <m:ctrlPr>
              <w:rPr>
                <w:rFonts w:ascii="Cambria Math" w:hAnsi="Cambria Math"/>
                <w:sz w:val="24"/>
              </w:rPr>
            </m:ctrlPr>
          </m:sSubPr>
          <m:e>
            <m:limUpp>
              <m:limUppPr>
                <m:ctrlPr>
                  <w:rPr>
                    <w:rFonts w:ascii="Cambria Math" w:hAnsi="Cambria Math"/>
                    <w:sz w:val="24"/>
                  </w:rPr>
                </m:ctrlPr>
              </m:limUppPr>
              <m:e>
                <m:r>
                  <m:rPr/>
                  <w:rPr>
                    <w:rFonts w:ascii="Cambria Math" w:hAnsi="Cambria Math"/>
                    <w:sz w:val="24"/>
                  </w:rPr>
                  <m:t>σ</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ascii="Times New Roman" w:hAnsi="Times New Roman"/>
          <w:sz w:val="24"/>
        </w:rPr>
        <w:t>分别表示基因</w:t>
      </w:r>
      <m:oMath>
        <m:r>
          <m:rPr/>
          <w:rPr>
            <w:rFonts w:ascii="Cambria Math" w:hAnsi="Cambria Math"/>
            <w:sz w:val="24"/>
          </w:rPr>
          <m:t>i</m:t>
        </m:r>
      </m:oMath>
      <w:r>
        <w:rPr>
          <w:rFonts w:ascii="Times New Roman" w:hAnsi="Times New Roman"/>
          <w:sz w:val="24"/>
        </w:rPr>
        <w:t>在真实情况和预测结果中的空间表达的标准差。对于一个基因来说，PCC 值越高，表示预测的准确性越好。</w:t>
      </w:r>
    </w:p>
    <w:p w14:paraId="3680EA70">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（2）SSIM。首先按照以下方式对表达矩阵进行了标准化处理，以使每个基因的表达值介于0和1之间：</w:t>
      </w:r>
    </w:p>
    <w:p w14:paraId="0AAE9193">
      <w:pPr>
        <w:autoSpaceDE w:val="0"/>
        <w:autoSpaceDN w:val="0"/>
        <w:adjustRightInd w:val="0"/>
        <w:spacing w:before="120" w:line="360" w:lineRule="auto"/>
        <w:ind w:firstLine="480" w:firstLineChars="200"/>
        <w:rPr>
          <w:rFonts w:ascii="Times New Roman" w:hAnsi="Times New Roman"/>
          <w:sz w:val="24"/>
        </w:rPr>
      </w:pPr>
      <m:oMathPara>
        <m:oMath>
          <m:eqArr>
            <m:eqArrPr>
              <m:maxDist m:val="1"/>
              <m:ctrlPr>
                <w:rPr>
                  <w:rFonts w:ascii="Cambria Math" w:hAnsi="Cambria Math"/>
                  <w:sz w:val="24"/>
                </w:rPr>
              </m:ctrlPr>
            </m:eqArrPr>
            <m:e>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ij</m:t>
                  </m:r>
                  <m:ctrlPr>
                    <w:rPr>
                      <w:rFonts w:ascii="Cambria Math" w:hAnsi="Cambria Math"/>
                      <w:sz w:val="24"/>
                    </w:rPr>
                  </m:ctrlPr>
                </m:sub>
                <m:sup>
                  <m:r>
                    <m:rPr>
                      <m:sty m:val="p"/>
                    </m:rPr>
                    <w:rPr>
                      <w:rFonts w:ascii="Cambria Math" w:hAnsi="Cambria Math"/>
                      <w:sz w:val="24"/>
                    </w:rPr>
                    <m:t>'</m:t>
                  </m:r>
                  <m:ctrlPr>
                    <w:rPr>
                      <w:rFonts w:ascii="Cambria Math" w:hAnsi="Cambria Math"/>
                      <w:sz w:val="24"/>
                    </w:rPr>
                  </m:ctrlPr>
                </m:sup>
              </m:sSubSup>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ij</m:t>
                      </m:r>
                      <m:ctrlPr>
                        <w:rPr>
                          <w:rFonts w:ascii="Cambria Math" w:hAnsi="Cambria Math"/>
                          <w:sz w:val="24"/>
                        </w:rPr>
                      </m:ctrlPr>
                    </m:sub>
                  </m:sSub>
                  <m:ctrlPr>
                    <w:rPr>
                      <w:rFonts w:ascii="Cambria Math" w:hAnsi="Cambria Math"/>
                      <w:sz w:val="24"/>
                    </w:rPr>
                  </m:ctrlPr>
                </m:num>
                <m:den>
                  <m:func>
                    <m:funcPr>
                      <m:ctrlPr>
                        <w:rPr>
                          <w:rFonts w:ascii="Cambria Math" w:hAnsi="Cambria Math"/>
                          <w:sz w:val="24"/>
                        </w:rPr>
                      </m:ctrlPr>
                    </m:funcPr>
                    <m:fName>
                      <m:r>
                        <m:rPr>
                          <m:sty m:val="p"/>
                        </m:rPr>
                        <w:rPr>
                          <w:rFonts w:ascii="Cambria Math" w:hAnsi="Cambria Math"/>
                          <w:sz w:val="24"/>
                        </w:rPr>
                        <m:t>max</m:t>
                      </m:r>
                      <m:ctrlPr>
                        <w:rPr>
                          <w:rFonts w:ascii="Cambria Math" w:hAnsi="Cambria Math"/>
                          <w:sz w:val="24"/>
                        </w:rPr>
                      </m:ctrlPr>
                    </m:fName>
                    <m:e>
                      <m:d>
                        <m:dPr>
                          <m:ctrlPr>
                            <w:rPr>
                              <w:rFonts w:ascii="Cambria Math" w:hAnsi="Cambria Math"/>
                              <w:sz w:val="24"/>
                            </w:rPr>
                          </m:ctrlPr>
                        </m:dPr>
                        <m:e>
                          <m:d>
                            <m:dPr>
                              <m:begChr m:val="{"/>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t>
                                  </m:r>
                                  <m:r>
                                    <m:rPr>
                                      <m:sty m:val="p"/>
                                    </m:rPr>
                                    <w:rPr>
                                      <w:rFonts w:ascii="Cambria Math" w:hAnsi="Cambria Math"/>
                                      <w:sz w:val="24"/>
                                    </w:rPr>
                                    <m:t>1</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m:t>
                                  </m:r>
                                  <m:ctrlPr>
                                    <w:rPr>
                                      <w:rFonts w:ascii="Cambria Math" w:hAnsi="Cambria Math"/>
                                      <w:sz w:val="24"/>
                                    </w:rPr>
                                  </m:ctrlPr>
                                </m:sub>
                              </m:sSub>
                              <m:ctrlPr>
                                <w:rPr>
                                  <w:rFonts w:ascii="Cambria Math" w:hAnsi="Cambria Math"/>
                                  <w:sz w:val="24"/>
                                </w:rPr>
                              </m:ctrlPr>
                            </m:e>
                          </m:d>
                          <m:ctrlPr>
                            <w:rPr>
                              <w:rFonts w:ascii="Cambria Math" w:hAnsi="Cambria Math"/>
                              <w:sz w:val="24"/>
                            </w:rPr>
                          </m:ctrlPr>
                        </m:e>
                      </m:d>
                      <m:ctrlPr>
                        <w:rPr>
                          <w:rFonts w:ascii="Cambria Math" w:hAnsi="Cambria Math"/>
                          <w:sz w:val="24"/>
                        </w:rPr>
                      </m:ctrlPr>
                    </m:e>
                  </m:func>
                  <m:ctrlPr>
                    <w:rPr>
                      <w:rFonts w:ascii="Cambria Math" w:hAnsi="Cambria Math"/>
                      <w:sz w:val="24"/>
                    </w:rPr>
                  </m:ctrlPr>
                </m:den>
              </m:f>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3.18</m:t>
                  </m:r>
                  <m:ctrlPr>
                    <w:rPr>
                      <w:rFonts w:ascii="Cambria Math" w:hAnsi="Cambria Math"/>
                      <w:sz w:val="24"/>
                    </w:rPr>
                  </m:ctrlPr>
                </m:e>
              </m:d>
              <m:ctrlPr>
                <w:rPr>
                  <w:rFonts w:ascii="Cambria Math" w:hAnsi="Cambria Math"/>
                  <w:sz w:val="24"/>
                </w:rPr>
              </m:ctrlPr>
            </m:e>
          </m:eqArr>
        </m:oMath>
      </m:oMathPara>
    </w:p>
    <w:p w14:paraId="6613616F">
      <w:pPr>
        <w:autoSpaceDE w:val="0"/>
        <w:autoSpaceDN w:val="0"/>
        <w:adjustRightInd w:val="0"/>
        <w:snapToGrid w:val="0"/>
        <w:spacing w:before="120" w:line="360" w:lineRule="auto"/>
        <w:ind w:firstLine="480" w:firstLineChars="200"/>
        <w:rPr>
          <w:rFonts w:ascii="Times New Roman" w:hAnsi="Times New Roman"/>
          <w:sz w:val="24"/>
        </w:rPr>
      </w:pPr>
      <w:r>
        <w:rPr>
          <w:rFonts w:ascii="Times New Roman" w:hAnsi="Times New Roman"/>
          <w:sz w:val="24"/>
        </w:rPr>
        <w:t>其中</w:t>
      </w:r>
      <w:r>
        <w:rPr>
          <w:rFonts w:hint="eastAsia" w:ascii="Times New Roman" w:hAnsi="Times New Roman"/>
          <w:sz w:val="24"/>
        </w:rPr>
        <w:t>,</w:t>
      </w:r>
      <w:r>
        <w:rPr>
          <w:rFonts w:ascii="Times New Roman" w:hAnsi="Times New Roman"/>
          <w:sz w:val="24"/>
        </w:rPr>
        <w:t xml:space="preserve"> </w:t>
      </w:r>
      <m:oMath>
        <m:sSub>
          <m:sSubPr>
            <m:ctrlPr>
              <w:rPr>
                <w:rFonts w:ascii="Cambria Math" w:hAnsi="Cambria Math"/>
                <w:i/>
                <w:iCs/>
                <w:sz w:val="24"/>
              </w:rPr>
            </m:ctrlPr>
          </m:sSubPr>
          <m:e>
            <m:r>
              <m:rPr/>
              <w:rPr>
                <w:rFonts w:ascii="Cambria Math" w:hAnsi="Cambria Math"/>
                <w:sz w:val="24"/>
              </w:rPr>
              <m:t>x</m:t>
            </m:r>
            <m:ctrlPr>
              <w:rPr>
                <w:rFonts w:ascii="Cambria Math" w:hAnsi="Cambria Math"/>
                <w:i/>
                <w:iCs/>
                <w:sz w:val="24"/>
              </w:rPr>
            </m:ctrlPr>
          </m:e>
          <m:sub>
            <m:r>
              <m:rPr/>
              <w:rPr>
                <w:rFonts w:ascii="Cambria Math" w:hAnsi="Cambria Math"/>
                <w:sz w:val="24"/>
              </w:rPr>
              <m:t>ij</m:t>
            </m:r>
            <m:ctrlPr>
              <w:rPr>
                <w:rFonts w:ascii="Cambria Math" w:hAnsi="Cambria Math"/>
                <w:i/>
                <w:iCs/>
                <w:sz w:val="24"/>
              </w:rPr>
            </m:ctrlPr>
          </m:sub>
        </m:sSub>
      </m:oMath>
      <w:r>
        <w:rPr>
          <w:rFonts w:ascii="Times New Roman" w:hAnsi="Times New Roman"/>
          <w:sz w:val="24"/>
        </w:rPr>
        <w:t>表示基因</w:t>
      </w:r>
      <m:oMath>
        <m:r>
          <m:rPr>
            <m:sty m:val="p"/>
          </m:rPr>
          <w:rPr>
            <w:rFonts w:ascii="Cambria Math" w:hAnsi="Cambria Math"/>
            <w:sz w:val="24"/>
          </w:rPr>
          <m:t>i</m:t>
        </m:r>
      </m:oMath>
      <w:r>
        <w:rPr>
          <w:rFonts w:ascii="Times New Roman" w:hAnsi="Times New Roman"/>
          <w:sz w:val="24"/>
        </w:rPr>
        <w:t>在点</w:t>
      </w:r>
      <m:oMath>
        <m:r>
          <m:rPr>
            <m:sty m:val="p"/>
          </m:rPr>
          <w:rPr>
            <w:rFonts w:ascii="Cambria Math" w:hAnsi="Cambria Math"/>
            <w:sz w:val="24"/>
          </w:rPr>
          <m:t>j</m:t>
        </m:r>
      </m:oMath>
      <w:r>
        <w:rPr>
          <w:rFonts w:ascii="Times New Roman" w:hAnsi="Times New Roman"/>
          <w:sz w:val="24"/>
        </w:rPr>
        <w:t>的表达量</w:t>
      </w:r>
      <w:r>
        <w:rPr>
          <w:rFonts w:hint="eastAsia" w:ascii="Times New Roman" w:hAnsi="Times New Roman"/>
          <w:sz w:val="24"/>
        </w:rPr>
        <w:t>,</w:t>
      </w:r>
      <w:r>
        <w:rPr>
          <w:rFonts w:ascii="Times New Roman" w:hAnsi="Times New Roman"/>
          <w:sz w:val="24"/>
        </w:rPr>
        <w:t xml:space="preserve"> </w:t>
      </w:r>
      <m:oMath>
        <m:r>
          <m:rPr>
            <m:nor/>
          </m:rPr>
          <w:rPr>
            <w:rFonts w:ascii="Times New Roman" w:hAnsi="Times New Roman"/>
            <w:i/>
            <w:iCs/>
            <w:sz w:val="24"/>
          </w:rPr>
          <m:t>M</m:t>
        </m:r>
      </m:oMath>
      <w:r>
        <w:rPr>
          <w:rFonts w:ascii="Times New Roman" w:hAnsi="Times New Roman"/>
          <w:sz w:val="24"/>
        </w:rPr>
        <w:t>是点的总数。</w:t>
      </w:r>
    </w:p>
    <w:p w14:paraId="108DBF89">
      <w:pPr>
        <w:autoSpaceDE w:val="0"/>
        <w:autoSpaceDN w:val="0"/>
        <w:adjustRightInd w:val="0"/>
        <w:spacing w:before="120" w:line="360" w:lineRule="auto"/>
        <w:ind w:firstLine="480" w:firstLineChars="200"/>
        <w:rPr>
          <w:rFonts w:ascii="Times New Roman" w:hAnsi="Times New Roman"/>
          <w:sz w:val="24"/>
        </w:rPr>
      </w:pPr>
      <w:r>
        <w:rPr>
          <w:rFonts w:ascii="Times New Roman" w:hAnsi="Times New Roman"/>
          <w:sz w:val="24"/>
        </w:rPr>
        <w:t>然后，使用了标准化后的基因表达量和以下公式来计算每个基因的SSIM值：</w:t>
      </w:r>
    </w:p>
    <w:p w14:paraId="28F9A6F0">
      <w:pPr>
        <w:autoSpaceDE w:val="0"/>
        <w:autoSpaceDN w:val="0"/>
        <w:adjustRightInd w:val="0"/>
        <w:spacing w:before="120" w:line="360" w:lineRule="auto"/>
        <w:ind w:firstLine="480" w:firstLineChars="200"/>
        <w:rPr>
          <w:rFonts w:ascii="Times New Roman" w:hAnsi="Times New Roman"/>
          <w:sz w:val="24"/>
        </w:rPr>
      </w:pPr>
      <m:oMathPara>
        <m:oMath>
          <m:eqArr>
            <m:eqArrPr>
              <m:maxDist m:val="1"/>
              <m:ctrlPr>
                <w:rPr>
                  <w:rFonts w:ascii="Cambria Math" w:hAnsi="Cambria Math"/>
                  <w:sz w:val="24"/>
                </w:rPr>
              </m:ctrlPr>
            </m:eqArrPr>
            <m:e>
              <m:r>
                <m:rPr/>
                <w:rPr>
                  <w:rFonts w:ascii="Cambria Math" w:hAnsi="Cambria Math"/>
                  <w:sz w:val="24"/>
                </w:rPr>
                <m:t>SSIM</m:t>
              </m:r>
              <m:r>
                <m:rPr>
                  <m:sty m:val="p"/>
                </m:rPr>
                <w:rPr>
                  <w:rFonts w:ascii="Cambria Math" w:hAnsi="Cambria Math"/>
                  <w:sz w:val="24"/>
                </w:rPr>
                <m:t>=</m:t>
              </m:r>
              <m:f>
                <m:fPr>
                  <m:ctrlPr>
                    <w:rPr>
                      <w:rFonts w:ascii="Cambria Math" w:hAnsi="Cambria Math"/>
                      <w:sz w:val="24"/>
                    </w:rPr>
                  </m:ctrlPr>
                </m:fPr>
                <m:num>
                  <m:d>
                    <m:dPr>
                      <m:ctrlPr>
                        <w:rPr>
                          <w:rFonts w:ascii="Cambria Math" w:hAnsi="Cambria Math"/>
                          <w:sz w:val="24"/>
                        </w:rPr>
                      </m:ctrlPr>
                    </m:dPr>
                    <m:e>
                      <m:r>
                        <m:rPr>
                          <m:sty m:val="p"/>
                        </m:rPr>
                        <w:rPr>
                          <w:rFonts w:ascii="Cambria Math" w:hAnsi="Cambria Math"/>
                          <w:sz w:val="24"/>
                        </w:rPr>
                        <m:t>2</m:t>
                      </m:r>
                      <m:sSub>
                        <m:sSubPr>
                          <m:ctrlPr>
                            <w:rPr>
                              <w:rFonts w:ascii="Cambria Math" w:hAnsi="Cambria Math"/>
                              <w:sz w:val="24"/>
                            </w:rPr>
                          </m:ctrlPr>
                        </m:sSubPr>
                        <m:e>
                          <m:limUpp>
                            <m:limUppPr>
                              <m:ctrlPr>
                                <w:rPr>
                                  <w:rFonts w:ascii="Cambria Math" w:hAnsi="Cambria Math"/>
                                  <w:sz w:val="24"/>
                                </w:rPr>
                              </m:ctrlPr>
                            </m:limUppPr>
                            <m:e>
                              <m:r>
                                <m:rPr/>
                                <w:rPr>
                                  <w:rFonts w:ascii="Cambria Math" w:hAnsi="Cambria Math"/>
                                  <w:sz w:val="24"/>
                                </w:rPr>
                                <m:t>u</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u</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C</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ctrlPr>
                        <w:rPr>
                          <w:rFonts w:ascii="Cambria Math" w:hAnsi="Cambria Math"/>
                          <w:sz w:val="24"/>
                        </w:rPr>
                      </m:ctrlPr>
                    </m:e>
                  </m:d>
                  <m:d>
                    <m:dPr>
                      <m:ctrlPr>
                        <w:rPr>
                          <w:rFonts w:ascii="Cambria Math" w:hAnsi="Cambria Math"/>
                          <w:sz w:val="24"/>
                        </w:rPr>
                      </m:ctrlPr>
                    </m:dPr>
                    <m:e>
                      <m:r>
                        <m:rPr>
                          <m:sty m:val="p"/>
                        </m:rPr>
                        <w:rPr>
                          <w:rFonts w:ascii="Cambria Math" w:hAnsi="Cambria Math"/>
                          <w:sz w:val="24"/>
                        </w:rPr>
                        <m:t>2</m:t>
                      </m:r>
                      <m:r>
                        <m:rPr/>
                        <w:rPr>
                          <w:rFonts w:ascii="Cambria Math" w:hAnsi="Cambria Math"/>
                          <w:sz w:val="24"/>
                        </w:rPr>
                        <m:t>coν</m:t>
                      </m:r>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m:t>
                          </m:r>
                          <m:ctrlPr>
                            <w:rPr>
                              <w:rFonts w:ascii="Cambria Math" w:hAnsi="Cambria Math"/>
                              <w:sz w:val="24"/>
                            </w:rPr>
                          </m:ctrlPr>
                        </m:sup>
                      </m:sSubSup>
                      <m:r>
                        <m:rPr>
                          <m:sty m:val="p"/>
                        </m:rPr>
                        <w:rPr>
                          <w:rFonts w:ascii="Cambria Math" w:hAnsi="Cambria Math"/>
                          <w:sz w:val="24"/>
                        </w:rPr>
                        <m:t>,</m:t>
                      </m:r>
                      <m:sSubSup>
                        <m:sSubSupPr>
                          <m:ctrlPr>
                            <w:rPr>
                              <w:rFonts w:ascii="Cambria Math" w:hAnsi="Cambria Math"/>
                              <w:sz w:val="24"/>
                            </w:rPr>
                          </m:ctrlPr>
                        </m:sSubSupPr>
                        <m:e>
                          <m:limUpp>
                            <m:limUppPr>
                              <m:ctrlPr>
                                <w:rPr>
                                  <w:rFonts w:ascii="Cambria Math" w:hAnsi="Cambria Math"/>
                                  <w:sz w:val="24"/>
                                </w:rPr>
                              </m:ctrlPr>
                            </m:limUppPr>
                            <m:e>
                              <m:r>
                                <m:rPr/>
                                <w:rPr>
                                  <w:rFonts w:ascii="Cambria Math" w:hAnsi="Cambria Math"/>
                                  <w:sz w:val="24"/>
                                </w:rPr>
                                <m:t>x</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m:t>
                          </m:r>
                          <m:ctrlPr>
                            <w:rPr>
                              <w:rFonts w:ascii="Cambria Math" w:hAnsi="Cambria Math"/>
                              <w:sz w:val="24"/>
                            </w:rPr>
                          </m:ctrlPr>
                        </m:sup>
                      </m:sSubSup>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C</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ctrlPr>
                        <w:rPr>
                          <w:rFonts w:ascii="Cambria Math" w:hAnsi="Cambria Math"/>
                          <w:sz w:val="24"/>
                        </w:rPr>
                      </m:ctrlPr>
                    </m:e>
                  </m:d>
                  <m:ctrlPr>
                    <w:rPr>
                      <w:rFonts w:ascii="Cambria Math" w:hAnsi="Cambria Math"/>
                      <w:sz w:val="24"/>
                    </w:rPr>
                  </m:ctrlPr>
                </m:num>
                <m:den>
                  <m:d>
                    <m:dPr>
                      <m:ctrlPr>
                        <w:rPr>
                          <w:rFonts w:ascii="Cambria Math" w:hAnsi="Cambria Math"/>
                          <w:sz w:val="24"/>
                        </w:rPr>
                      </m:ctrlPr>
                    </m:dPr>
                    <m:e>
                      <m:sSubSup>
                        <m:sSubSupPr>
                          <m:ctrlPr>
                            <w:rPr>
                              <w:rFonts w:ascii="Cambria Math" w:hAnsi="Cambria Math"/>
                              <w:sz w:val="24"/>
                            </w:rPr>
                          </m:ctrlPr>
                        </m:sSubSupPr>
                        <m:e>
                          <m:limUpp>
                            <m:limUppPr>
                              <m:ctrlPr>
                                <w:rPr>
                                  <w:rFonts w:ascii="Cambria Math" w:hAnsi="Cambria Math"/>
                                  <w:sz w:val="24"/>
                                </w:rPr>
                              </m:ctrlPr>
                            </m:limUppPr>
                            <m:e>
                              <m:r>
                                <m:rPr/>
                                <w:rPr>
                                  <w:rFonts w:ascii="Cambria Math" w:hAnsi="Cambria Math"/>
                                  <w:sz w:val="24"/>
                                </w:rPr>
                                <m:t>u</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u</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C</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ctrlPr>
                        <w:rPr>
                          <w:rFonts w:ascii="Cambria Math" w:hAnsi="Cambria Math"/>
                          <w:sz w:val="24"/>
                        </w:rPr>
                      </m:ctrlPr>
                    </m:e>
                  </m:d>
                  <m:d>
                    <m:dPr>
                      <m:ctrlPr>
                        <w:rPr>
                          <w:rFonts w:ascii="Cambria Math" w:hAnsi="Cambria Math"/>
                          <w:sz w:val="24"/>
                        </w:rPr>
                      </m:ctrlPr>
                    </m:dPr>
                    <m:e>
                      <m:sSubSup>
                        <m:sSubSupPr>
                          <m:ctrlPr>
                            <w:rPr>
                              <w:rFonts w:ascii="Cambria Math" w:hAnsi="Cambria Math"/>
                              <w:sz w:val="24"/>
                            </w:rPr>
                          </m:ctrlPr>
                        </m:sSubSupPr>
                        <m:e>
                          <m:limUpp>
                            <m:limUppPr>
                              <m:ctrlPr>
                                <w:rPr>
                                  <w:rFonts w:ascii="Cambria Math" w:hAnsi="Cambria Math"/>
                                  <w:sz w:val="24"/>
                                </w:rPr>
                              </m:ctrlPr>
                            </m:limUppPr>
                            <m:e>
                              <m:r>
                                <m:rPr/>
                                <w:rPr>
                                  <w:rFonts w:ascii="Cambria Math" w:hAnsi="Cambria Math"/>
                                  <w:sz w:val="24"/>
                                </w:rPr>
                                <m:t>σ</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σ</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r>
                        <m:rPr>
                          <m:sty m:val="p"/>
                        </m:rPr>
                        <w:rPr>
                          <w:rFonts w:ascii="Cambria Math" w:hAnsi="Cambria Math"/>
                          <w:sz w:val="24"/>
                        </w:rPr>
                        <m:t>+</m:t>
                      </m:r>
                      <m:sSubSup>
                        <m:sSubSupPr>
                          <m:ctrlPr>
                            <w:rPr>
                              <w:rFonts w:ascii="Cambria Math" w:hAnsi="Cambria Math"/>
                              <w:sz w:val="24"/>
                            </w:rPr>
                          </m:ctrlPr>
                        </m:sSubSupPr>
                        <m:e>
                          <m:r>
                            <m:rPr/>
                            <w:rPr>
                              <w:rFonts w:ascii="Cambria Math" w:hAnsi="Cambria Math"/>
                              <w:sz w:val="24"/>
                            </w:rPr>
                            <m:t>C</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up>
                          <m:r>
                            <m:rPr>
                              <m:sty m:val="p"/>
                            </m:rPr>
                            <w:rPr>
                              <w:rFonts w:ascii="Cambria Math" w:hAnsi="Cambria Math"/>
                              <w:sz w:val="24"/>
                            </w:rPr>
                            <m:t>2</m:t>
                          </m:r>
                          <m:ctrlPr>
                            <w:rPr>
                              <w:rFonts w:ascii="Cambria Math" w:hAnsi="Cambria Math"/>
                              <w:sz w:val="24"/>
                            </w:rPr>
                          </m:ctrlPr>
                        </m:sup>
                      </m:sSubSup>
                      <m:ctrlPr>
                        <w:rPr>
                          <w:rFonts w:ascii="Cambria Math" w:hAnsi="Cambria Math"/>
                          <w:sz w:val="24"/>
                        </w:rPr>
                      </m:ctrlPr>
                    </m:e>
                  </m:d>
                  <m:ctrlPr>
                    <w:rPr>
                      <w:rFonts w:ascii="Cambria Math" w:hAnsi="Cambria Math"/>
                      <w:sz w:val="24"/>
                    </w:rPr>
                  </m:ctrlPr>
                </m:den>
              </m:f>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3.19</m:t>
                  </m:r>
                  <m:ctrlPr>
                    <w:rPr>
                      <w:rFonts w:ascii="Cambria Math" w:hAnsi="Cambria Math"/>
                      <w:sz w:val="24"/>
                    </w:rPr>
                  </m:ctrlPr>
                </m:e>
              </m:d>
              <m:ctrlPr>
                <w:rPr>
                  <w:rFonts w:ascii="Cambria Math" w:hAnsi="Cambria Math"/>
                  <w:sz w:val="24"/>
                </w:rPr>
              </m:ctrlPr>
            </m:e>
          </m:eqArr>
        </m:oMath>
      </m:oMathPara>
    </w:p>
    <w:p w14:paraId="0C86198F">
      <w:pPr>
        <w:autoSpaceDE w:val="0"/>
        <w:autoSpaceDN w:val="0"/>
        <w:adjustRightInd w:val="0"/>
        <w:snapToGrid w:val="0"/>
        <w:spacing w:before="120" w:line="360" w:lineRule="auto"/>
        <w:ind w:firstLine="480" w:firstLineChars="200"/>
        <w:rPr>
          <w:rFonts w:ascii="Times New Roman" w:hAnsi="Times New Roman"/>
          <w:sz w:val="24"/>
        </w:rPr>
      </w:pPr>
      <w:r>
        <w:rPr>
          <w:rFonts w:ascii="Times New Roman" w:hAnsi="Times New Roman"/>
          <w:sz w:val="24"/>
        </w:rPr>
        <w:t>其中，</w:t>
      </w:r>
      <m:oMath>
        <m:sSub>
          <m:sSubPr>
            <m:ctrlPr>
              <w:rPr>
                <w:rFonts w:ascii="Cambria Math" w:hAnsi="Cambria Math"/>
                <w:i/>
                <w:sz w:val="24"/>
              </w:rPr>
            </m:ctrlPr>
          </m:sSubPr>
          <m:e>
            <m:r>
              <m:rPr/>
              <w:rPr>
                <w:rFonts w:ascii="Cambria Math" w:hAnsi="Cambria Math"/>
                <w:sz w:val="24"/>
              </w:rPr>
              <m:t>u</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ascii="Times New Roman" w:hAnsi="Times New Roman"/>
          <w:sz w:val="24"/>
        </w:rPr>
        <w:t>、</w:t>
      </w:r>
      <w:r>
        <w:rPr>
          <w:rFonts w:ascii="Times New Roman" w:hAnsi="Times New Roman"/>
          <w:sz w:val="24"/>
        </w:rPr>
        <w:t xml:space="preserve"> </w:t>
      </w:r>
      <m:oMath>
        <m:sSub>
          <m:sSubPr>
            <m:ctrlPr>
              <w:rPr>
                <w:rFonts w:ascii="Cambria Math" w:hAnsi="Cambria Math"/>
                <w:sz w:val="24"/>
              </w:rPr>
            </m:ctrlPr>
          </m:sSubPr>
          <m:e>
            <m:limUpp>
              <m:limUppPr>
                <m:ctrlPr>
                  <w:rPr>
                    <w:rFonts w:ascii="Cambria Math" w:hAnsi="Cambria Math"/>
                    <w:sz w:val="24"/>
                  </w:rPr>
                </m:ctrlPr>
              </m:limUppPr>
              <m:e>
                <m:r>
                  <m:rPr/>
                  <w:rPr>
                    <w:rFonts w:hint="eastAsia" w:ascii="Cambria Math" w:hAnsi="Cambria Math"/>
                    <w:sz w:val="24"/>
                  </w:rPr>
                  <m:t>u</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ascii="Times New Roman" w:hAnsi="Times New Roman"/>
          <w:sz w:val="24"/>
        </w:rPr>
        <w:t>、</w:t>
      </w:r>
      <m:oMath>
        <m:sSub>
          <m:sSubPr>
            <m:ctrlPr>
              <w:rPr>
                <w:rFonts w:ascii="Cambria Math" w:hAnsi="Cambria Math"/>
                <w:sz w:val="24"/>
              </w:rPr>
            </m:ctrlPr>
          </m:sSubPr>
          <m:e>
            <m:r>
              <m:rPr/>
              <w:rPr>
                <w:rFonts w:ascii="Cambria Math" w:hAnsi="Cambria Math"/>
                <w:sz w:val="24"/>
              </w:rPr>
              <m:t>σ</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ascii="Times New Roman" w:hAnsi="Times New Roman"/>
          <w:sz w:val="24"/>
        </w:rPr>
        <w:t>和</w:t>
      </w:r>
      <m:oMath>
        <m:sSub>
          <m:sSubPr>
            <m:ctrlPr>
              <w:rPr>
                <w:rFonts w:ascii="Cambria Math" w:hAnsi="Cambria Math"/>
                <w:sz w:val="24"/>
              </w:rPr>
            </m:ctrlPr>
          </m:sSubPr>
          <m:e>
            <m:limUpp>
              <m:limUppPr>
                <m:ctrlPr>
                  <w:rPr>
                    <w:rFonts w:ascii="Cambria Math" w:hAnsi="Cambria Math"/>
                    <w:sz w:val="24"/>
                  </w:rPr>
                </m:ctrlPr>
              </m:limUppPr>
              <m:e>
                <m:r>
                  <m:rPr/>
                  <w:rPr>
                    <w:rFonts w:ascii="Cambria Math" w:hAnsi="Cambria Math"/>
                    <w:sz w:val="24"/>
                  </w:rPr>
                  <m:t>σ</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ascii="Times New Roman" w:hAnsi="Times New Roman"/>
          <w:sz w:val="24"/>
        </w:rPr>
        <w:t>的定义与计算PCC值时相同（但针对的是标准化后的基因表达量）；</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1</m:t>
            </m:r>
            <m:ctrlPr>
              <w:rPr>
                <w:rFonts w:ascii="Cambria Math" w:hAnsi="Cambria Math"/>
                <w:sz w:val="24"/>
              </w:rPr>
            </m:ctrlPr>
          </m:sub>
        </m:sSub>
      </m:oMath>
      <w:r>
        <w:rPr>
          <w:rFonts w:ascii="Times New Roman" w:hAnsi="Times New Roman"/>
          <w:sz w:val="24"/>
        </w:rPr>
        <w:t>和</w:t>
      </w:r>
      <m:oMath>
        <m:sSub>
          <m:sSubPr>
            <m:ctrlPr>
              <w:rPr>
                <w:rFonts w:ascii="Cambria Math" w:hAnsi="Cambria Math"/>
                <w:sz w:val="24"/>
              </w:rPr>
            </m:ctrlPr>
          </m:sSubPr>
          <m:e>
            <m:r>
              <m:rPr/>
              <w:rPr>
                <w:rFonts w:ascii="Cambria Math" w:hAnsi="Cambria Math"/>
                <w:sz w:val="24"/>
              </w:rPr>
              <m:t>C</m:t>
            </m:r>
            <m:ctrlPr>
              <w:rPr>
                <w:rFonts w:ascii="Cambria Math" w:hAnsi="Cambria Math"/>
                <w:sz w:val="24"/>
              </w:rPr>
            </m:ctrlPr>
          </m:e>
          <m:sub>
            <m:r>
              <m:rPr>
                <m:sty m:val="p"/>
              </m:rPr>
              <w:rPr>
                <w:rFonts w:ascii="Cambria Math" w:hAnsi="Cambria Math"/>
                <w:sz w:val="24"/>
              </w:rPr>
              <m:t>2</m:t>
            </m:r>
            <m:ctrlPr>
              <w:rPr>
                <w:rFonts w:ascii="Cambria Math" w:hAnsi="Cambria Math"/>
                <w:sz w:val="24"/>
              </w:rPr>
            </m:ctrlPr>
          </m:sub>
        </m:sSub>
      </m:oMath>
      <w:r>
        <w:rPr>
          <w:rFonts w:ascii="Times New Roman" w:hAnsi="Times New Roman"/>
          <w:sz w:val="24"/>
        </w:rPr>
        <w:t>分别为0.01和0.03；而</w:t>
      </w:r>
      <m:oMath>
        <m:r>
          <m:rPr/>
          <w:rPr>
            <w:rFonts w:ascii="Cambria Math" w:hAnsi="Cambria Math"/>
            <w:sz w:val="24"/>
          </w:rPr>
          <m:t>cov</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m:rPr/>
                  <w:rPr>
                    <w:rFonts w:ascii="Cambria Math" w:hAnsi="Cambria Math"/>
                    <w:sz w:val="24"/>
                  </w:rPr>
                  <m:t>x</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oMath>
      <w:r>
        <w:rPr>
          <w:rFonts w:ascii="Times New Roman" w:hAnsi="Times New Roman"/>
          <w:sz w:val="24"/>
        </w:rPr>
        <w:t>是基因</w:t>
      </w:r>
      <m:oMath>
        <m:r>
          <m:rPr>
            <m:sty m:val="bi"/>
          </m:rPr>
          <w:rPr>
            <w:rFonts w:ascii="Cambria Math" w:hAnsi="Cambria Math"/>
            <w:sz w:val="24"/>
          </w:rPr>
          <m:t>i</m:t>
        </m:r>
      </m:oMath>
      <w:r>
        <w:rPr>
          <w:rFonts w:ascii="Times New Roman" w:hAnsi="Times New Roman"/>
          <w:sz w:val="24"/>
        </w:rPr>
        <w:t>在真实情况（即</w:t>
      </w:r>
      <m:oMath>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m:t>
            </m:r>
            <m:ctrlPr>
              <w:rPr>
                <w:rFonts w:ascii="Cambria Math" w:hAnsi="Cambria Math"/>
                <w:sz w:val="24"/>
              </w:rPr>
            </m:ctrlPr>
          </m:sup>
        </m:sSubSup>
      </m:oMath>
      <w:r>
        <w:rPr>
          <w:rFonts w:ascii="Times New Roman" w:hAnsi="Times New Roman"/>
          <w:sz w:val="24"/>
        </w:rPr>
        <w:t>​）和预测结果（即</w:t>
      </w:r>
      <m:oMath>
        <m:sSubSup>
          <m:sSubSupPr>
            <m:ctrlPr>
              <w:rPr>
                <w:rFonts w:ascii="Cambria Math" w:hAnsi="Cambria Math"/>
                <w:sz w:val="24"/>
              </w:rPr>
            </m:ctrlPr>
          </m:sSubSupPr>
          <m:e>
            <m:limUpp>
              <m:limUppPr>
                <m:ctrlPr>
                  <w:rPr>
                    <w:rFonts w:ascii="Cambria Math" w:hAnsi="Cambria Math"/>
                    <w:sz w:val="24"/>
                  </w:rPr>
                </m:ctrlPr>
              </m:limUppPr>
              <m:e>
                <m:r>
                  <m:rPr/>
                  <w:rPr>
                    <w:rFonts w:ascii="Cambria Math" w:hAnsi="Cambria Math"/>
                    <w:sz w:val="24"/>
                  </w:rPr>
                  <m:t>x</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up>
            <m:r>
              <m:rPr>
                <m:sty m:val="p"/>
              </m:rPr>
              <w:rPr>
                <w:rFonts w:ascii="Cambria Math" w:hAnsi="Cambria Math"/>
                <w:sz w:val="24"/>
              </w:rPr>
              <m:t>'</m:t>
            </m:r>
            <m:ctrlPr>
              <w:rPr>
                <w:rFonts w:ascii="Cambria Math" w:hAnsi="Cambria Math"/>
                <w:sz w:val="24"/>
              </w:rPr>
            </m:ctrlPr>
          </m:sup>
        </m:sSubSup>
      </m:oMath>
      <w:r>
        <w:rPr>
          <w:rFonts w:ascii="Times New Roman" w:hAnsi="Times New Roman"/>
          <w:sz w:val="24"/>
        </w:rPr>
        <w:t>​）的表达向量之间的协方差。对于一个基因来说，SSIM值越高，表示预测的准确性越好。</w:t>
      </w:r>
    </w:p>
    <w:p w14:paraId="0F8F4AA9">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（3）COSSIM。COSSIM的值用以下公式计算：</w:t>
      </w:r>
    </w:p>
    <w:p w14:paraId="072FE25B">
      <w:pPr>
        <w:autoSpaceDE w:val="0"/>
        <w:autoSpaceDN w:val="0"/>
        <w:adjustRightInd w:val="0"/>
        <w:spacing w:before="120" w:line="360" w:lineRule="auto"/>
        <w:ind w:firstLine="480" w:firstLineChars="200"/>
        <w:rPr>
          <w:rFonts w:ascii="Times New Roman" w:hAnsi="Times New Roman"/>
          <w:sz w:val="24"/>
        </w:rPr>
      </w:pPr>
      <m:oMathPara>
        <m:oMath>
          <m:eqArr>
            <m:eqArrPr>
              <m:maxDist m:val="1"/>
              <m:ctrlPr>
                <w:rPr>
                  <w:rFonts w:ascii="Cambria Math" w:hAnsi="Cambria Math"/>
                  <w:sz w:val="24"/>
                </w:rPr>
              </m:ctrlPr>
            </m:eqArrPr>
            <m:e>
              <m:r>
                <m:rPr/>
                <w:rPr>
                  <w:rFonts w:ascii="Cambria Math" w:hAnsi="Cambria Math"/>
                  <w:sz w:val="24"/>
                </w:rPr>
                <m:t>COSSIM</m:t>
              </m:r>
              <m:r>
                <m:rPr>
                  <m:sty m:val="p"/>
                </m:rPr>
                <w:rPr>
                  <w:rFonts w:ascii="Cambria Math" w:hAnsi="Cambria Math"/>
                  <w:sz w:val="24"/>
                </w:rPr>
                <m:t>=</m:t>
              </m:r>
              <m:f>
                <m:fPr>
                  <m:ctrlPr>
                    <w:rPr>
                      <w:rFonts w:ascii="Cambria Math" w:hAnsi="Cambria Math"/>
                      <w:sz w:val="24"/>
                    </w:rPr>
                  </m:ctrlPr>
                </m:fPr>
                <m:num>
                  <m:nary>
                    <m:naryPr>
                      <m:chr m:val="∑"/>
                      <m:grow m:val="1"/>
                      <m:limLoc m:val="subSup"/>
                      <m:ctrlPr>
                        <w:rPr>
                          <w:rFonts w:ascii="Cambria Math" w:hAnsi="Cambria Math"/>
                          <w:sz w:val="24"/>
                        </w:rPr>
                      </m:ctrlPr>
                    </m:naryPr>
                    <m:sub>
                      <m:r>
                        <m:rPr/>
                        <w:rPr>
                          <w:rFonts w:ascii="Cambria Math" w:hAnsi="Cambria Math"/>
                          <w:sz w:val="24"/>
                        </w:rPr>
                        <m:t>j</m:t>
                      </m:r>
                      <m:r>
                        <m:rPr>
                          <m:sty m:val="p"/>
                        </m:rPr>
                        <w:rPr>
                          <w:rFonts w:ascii="Cambria Math" w:hAnsi="Cambria Math"/>
                          <w:sz w:val="24"/>
                        </w:rPr>
                        <m:t>=1</m:t>
                      </m:r>
                      <m:ctrlPr>
                        <w:rPr>
                          <w:rFonts w:ascii="Cambria Math" w:hAnsi="Cambria Math"/>
                          <w:sz w:val="24"/>
                        </w:rPr>
                      </m:ctrlPr>
                    </m:sub>
                    <m:sup>
                      <m:r>
                        <m:rPr/>
                        <w:rPr>
                          <w:rFonts w:ascii="Cambria Math" w:hAnsi="Cambria Math"/>
                          <w:sz w:val="24"/>
                        </w:rPr>
                        <m:t>m</m:t>
                      </m:r>
                      <m:ctrlPr>
                        <w:rPr>
                          <w:rFonts w:ascii="Cambria Math" w:hAnsi="Cambria Math"/>
                          <w:sz w:val="24"/>
                        </w:rPr>
                      </m:ctrlPr>
                    </m:sup>
                    <m:e>
                      <m:r>
                        <m:rPr>
                          <m:sty m:val="p"/>
                        </m:rPr>
                        <w:rPr>
                          <w:rFonts w:ascii="Cambria Math" w:hAnsi="Cambria Math"/>
                          <w:sz w:val="24"/>
                        </w:rPr>
                        <m:t xml:space="preserve"> </m:t>
                      </m:r>
                      <m:ctrlPr>
                        <w:rPr>
                          <w:rFonts w:ascii="Cambria Math" w:hAnsi="Cambria Math"/>
                          <w:sz w:val="24"/>
                        </w:rPr>
                      </m:ctrlPr>
                    </m:e>
                  </m:nary>
                  <m:sSub>
                    <m:sSubPr>
                      <m:ctrlPr>
                        <w:rPr>
                          <w:rFonts w:ascii="Cambria Math" w:hAnsi="Cambria Math"/>
                          <w:sz w:val="24"/>
                        </w:rPr>
                      </m:ctrlPr>
                    </m:sSubPr>
                    <m:e>
                      <m:limUpp>
                        <m:limUppPr>
                          <m:ctrlPr>
                            <w:rPr>
                              <w:rFonts w:ascii="Cambria Math" w:hAnsi="Cambria Math"/>
                              <w:sz w:val="24"/>
                            </w:rPr>
                          </m:ctrlPr>
                        </m:limUppPr>
                        <m:e>
                          <m:r>
                            <m:rPr/>
                            <w:rPr>
                              <w:rFonts w:ascii="Cambria Math" w:hAnsi="Cambria Math"/>
                              <w:sz w:val="24"/>
                            </w:rPr>
                            <m:t>x</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ij</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ij</m:t>
                      </m:r>
                      <m:ctrlPr>
                        <w:rPr>
                          <w:rFonts w:ascii="Cambria Math" w:hAnsi="Cambria Math"/>
                          <w:sz w:val="24"/>
                        </w:rPr>
                      </m:ctrlPr>
                    </m:sub>
                  </m:sSub>
                  <m:ctrlPr>
                    <w:rPr>
                      <w:rFonts w:ascii="Cambria Math" w:hAnsi="Cambria Math"/>
                      <w:sz w:val="24"/>
                    </w:rPr>
                  </m:ctrlPr>
                </m:num>
                <m:den>
                  <m:r>
                    <m:rPr>
                      <m:sty m:val="p"/>
                    </m:rP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m:rPr/>
                            <w:rPr>
                              <w:rFonts w:ascii="Cambria Math" w:hAnsi="Cambria Math"/>
                              <w:sz w:val="24"/>
                            </w:rPr>
                            <m:t>x</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ctrlPr>
                    <w:rPr>
                      <w:rFonts w:ascii="Cambria Math" w:hAnsi="Cambria Math"/>
                      <w:sz w:val="24"/>
                    </w:rPr>
                  </m:ctrlPr>
                </m:den>
              </m:f>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3.20</m:t>
                  </m:r>
                  <m:ctrlPr>
                    <w:rPr>
                      <w:rFonts w:ascii="Cambria Math" w:hAnsi="Cambria Math"/>
                      <w:sz w:val="24"/>
                    </w:rPr>
                  </m:ctrlPr>
                </m:e>
              </m:d>
              <m:ctrlPr>
                <w:rPr>
                  <w:rFonts w:ascii="Cambria Math" w:hAnsi="Cambria Math"/>
                  <w:sz w:val="24"/>
                </w:rPr>
              </m:ctrlPr>
            </m:e>
          </m:eqArr>
        </m:oMath>
      </m:oMathPara>
    </w:p>
    <w:p w14:paraId="530B6FEF">
      <w:pPr>
        <w:autoSpaceDE w:val="0"/>
        <w:autoSpaceDN w:val="0"/>
        <w:adjustRightInd w:val="0"/>
        <w:snapToGrid w:val="0"/>
        <w:spacing w:before="120" w:line="360" w:lineRule="auto"/>
        <w:ind w:firstLine="480" w:firstLineChars="200"/>
        <w:rPr>
          <w:rFonts w:ascii="Times New Roman" w:hAnsi="Times New Roman"/>
          <w:sz w:val="24"/>
        </w:rPr>
      </w:pPr>
      <w:r>
        <w:rPr>
          <w:rFonts w:hint="eastAsia" w:ascii="Times New Roman" w:hAnsi="Times New Roman"/>
          <w:sz w:val="24"/>
        </w:rPr>
        <w:t>其中</w:t>
      </w:r>
      <m:oMath>
        <m:r>
          <m:rPr>
            <m:sty m:val="p"/>
          </m:rPr>
          <w:rPr>
            <w:rFonts w:ascii="Cambria Math" w:hAnsi="Cambria Math"/>
            <w:sz w:val="24"/>
          </w:rPr>
          <m:t>‖</m:t>
        </m:r>
        <m:r>
          <m:rPr>
            <m:sty m:val="p"/>
          </m:rPr>
          <w:rPr>
            <w:rFonts w:hint="eastAsia" w:ascii="Cambria Math" w:hAnsi="Cambria Math"/>
            <w:sz w:val="24"/>
          </w:rPr>
          <m:t>·</m:t>
        </m:r>
        <m:r>
          <m:rPr>
            <m:sty m:val="p"/>
          </m:rPr>
          <w:rPr>
            <w:rFonts w:ascii="Cambria Math" w:hAnsi="Cambria Math"/>
            <w:sz w:val="24"/>
          </w:rPr>
          <m:t>‖</m:t>
        </m:r>
      </m:oMath>
      <w:r>
        <w:rPr>
          <w:rFonts w:hint="eastAsia" w:ascii="Times New Roman" w:hAnsi="Times New Roman"/>
          <w:sz w:val="24"/>
        </w:rPr>
        <w:t>表示L2规范，</w:t>
      </w:r>
      <w:r>
        <w:rPr>
          <w:rFonts w:hint="eastAsia" w:ascii="Times New Roman" w:hAnsi="Times New Roman"/>
          <w:i/>
          <w:iCs/>
          <w:sz w:val="24"/>
        </w:rPr>
        <w:t>m</w:t>
      </w:r>
      <w:r>
        <w:rPr>
          <w:rFonts w:hint="eastAsia" w:ascii="Times New Roman" w:hAnsi="Times New Roman"/>
          <w:sz w:val="24"/>
        </w:rPr>
        <w:t>是细胞类型的数量，</w:t>
      </w:r>
      <m:oMath>
        <m:sSub>
          <m:sSubPr>
            <m:ctrlPr>
              <w:rPr>
                <w:rFonts w:ascii="Cambria Math" w:hAnsi="Cambria Math"/>
                <w:i/>
                <w:iCs/>
                <w:sz w:val="24"/>
              </w:rPr>
            </m:ctrlPr>
          </m:sSubPr>
          <m:e>
            <m:limUpp>
              <m:limUppPr>
                <m:ctrlPr>
                  <w:rPr>
                    <w:rFonts w:ascii="Cambria Math" w:hAnsi="Cambria Math"/>
                    <w:i/>
                    <w:iCs/>
                    <w:sz w:val="24"/>
                  </w:rPr>
                </m:ctrlPr>
              </m:limUppPr>
              <m:e>
                <m:r>
                  <m:rPr/>
                  <w:rPr>
                    <w:rFonts w:hint="eastAsia" w:ascii="Cambria Math" w:hAnsi="Cambria Math"/>
                    <w:sz w:val="24"/>
                  </w:rPr>
                  <m:t>x</m:t>
                </m:r>
                <m:ctrlPr>
                  <w:rPr>
                    <w:rFonts w:ascii="Cambria Math" w:hAnsi="Cambria Math"/>
                    <w:i/>
                    <w:iCs/>
                    <w:sz w:val="24"/>
                  </w:rPr>
                </m:ctrlPr>
              </m:e>
              <m:lim>
                <m:r>
                  <m:rPr/>
                  <w:rPr>
                    <w:rFonts w:ascii="Cambria Math" w:hAnsi="Cambria Math"/>
                    <w:sz w:val="24"/>
                  </w:rPr>
                  <m:t>~</m:t>
                </m:r>
                <m:ctrlPr>
                  <w:rPr>
                    <w:rFonts w:ascii="Cambria Math" w:hAnsi="Cambria Math"/>
                    <w:i/>
                    <w:iCs/>
                    <w:sz w:val="24"/>
                  </w:rPr>
                </m:ctrlPr>
              </m:lim>
            </m:limUpp>
            <m:ctrlPr>
              <w:rPr>
                <w:rFonts w:ascii="Cambria Math" w:hAnsi="Cambria Math"/>
                <w:i/>
                <w:iCs/>
                <w:sz w:val="24"/>
              </w:rPr>
            </m:ctrlPr>
          </m:e>
          <m:sub>
            <m:r>
              <m:rPr/>
              <w:rPr>
                <w:rFonts w:ascii="Cambria Math" w:hAnsi="Cambria Math"/>
                <w:sz w:val="24"/>
              </w:rPr>
              <m:t>ij</m:t>
            </m:r>
            <m:ctrlPr>
              <w:rPr>
                <w:rFonts w:ascii="Cambria Math" w:hAnsi="Cambria Math"/>
                <w:i/>
                <w:iCs/>
                <w:sz w:val="24"/>
              </w:rPr>
            </m:ctrlPr>
          </m:sub>
        </m:sSub>
      </m:oMath>
      <w:r>
        <w:rPr>
          <w:rFonts w:hint="eastAsia" w:ascii="Times New Roman" w:hAnsi="Times New Roman"/>
          <w:sz w:val="24"/>
        </w:rPr>
        <w:t>是第</w:t>
      </w:r>
      <m:oMath>
        <m:r>
          <m:rPr/>
          <w:rPr>
            <w:rFonts w:ascii="Cambria Math" w:hAnsi="Cambria Math"/>
            <w:sz w:val="24"/>
          </w:rPr>
          <m:t>i</m:t>
        </m:r>
      </m:oMath>
      <w:r>
        <w:rPr>
          <w:rFonts w:hint="eastAsia" w:ascii="Times New Roman" w:hAnsi="Times New Roman"/>
          <w:sz w:val="24"/>
        </w:rPr>
        <w:t>个spot中对第</w:t>
      </w:r>
      <m:oMath>
        <m:r>
          <m:rPr/>
          <w:rPr>
            <w:rFonts w:ascii="Cambria Math" w:hAnsi="Cambria Math"/>
            <w:sz w:val="24"/>
          </w:rPr>
          <m:t>i</m:t>
        </m:r>
      </m:oMath>
      <w:r>
        <w:rPr>
          <w:rFonts w:hint="eastAsia" w:ascii="Times New Roman" w:hAnsi="Times New Roman"/>
          <w:sz w:val="24"/>
        </w:rPr>
        <w:t>种细胞类型的预测比例,</w:t>
      </w:r>
      <w:r>
        <w:rPr>
          <w:rFonts w:ascii="Times New Roman" w:hAnsi="Times New Roman"/>
          <w:sz w:val="24"/>
        </w:rPr>
        <w:t xml:space="preserve"> </w:t>
      </w:r>
      <m:oMath>
        <m:sSub>
          <m:sSubPr>
            <m:ctrlPr>
              <w:rPr>
                <w:rFonts w:ascii="Cambria Math" w:hAnsi="Cambria Math"/>
                <w:i/>
                <w:iCs/>
                <w:sz w:val="24"/>
              </w:rPr>
            </m:ctrlPr>
          </m:sSubPr>
          <m:e>
            <m:r>
              <m:rPr/>
              <w:rPr>
                <w:rFonts w:hint="eastAsia" w:ascii="Cambria Math" w:hAnsi="Cambria Math"/>
                <w:sz w:val="24"/>
              </w:rPr>
              <m:t>x</m:t>
            </m:r>
            <m:ctrlPr>
              <w:rPr>
                <w:rFonts w:ascii="Cambria Math" w:hAnsi="Cambria Math"/>
                <w:i/>
                <w:iCs/>
                <w:sz w:val="24"/>
              </w:rPr>
            </m:ctrlPr>
          </m:e>
          <m:sub>
            <m:r>
              <m:rPr/>
              <w:rPr>
                <w:rFonts w:ascii="Cambria Math" w:hAnsi="Cambria Math"/>
                <w:sz w:val="24"/>
              </w:rPr>
              <m:t>ij</m:t>
            </m:r>
            <m:ctrlPr>
              <w:rPr>
                <w:rFonts w:ascii="Cambria Math" w:hAnsi="Cambria Math"/>
                <w:i/>
                <w:iCs/>
                <w:sz w:val="24"/>
              </w:rPr>
            </m:ctrlPr>
          </m:sub>
        </m:sSub>
      </m:oMath>
      <w:r>
        <w:rPr>
          <w:rFonts w:hint="eastAsia" w:ascii="Times New Roman" w:hAnsi="Times New Roman"/>
          <w:sz w:val="24"/>
        </w:rPr>
        <w:t>表示该细胞类型在第</w:t>
      </w:r>
      <m:oMath>
        <m:r>
          <m:rPr/>
          <w:rPr>
            <w:rFonts w:ascii="Cambria Math" w:hAnsi="Cambria Math"/>
            <w:sz w:val="24"/>
          </w:rPr>
          <m:t>i</m:t>
        </m:r>
      </m:oMath>
      <w:r>
        <w:rPr>
          <w:rFonts w:hint="eastAsia" w:ascii="Times New Roman" w:hAnsi="Times New Roman"/>
          <w:sz w:val="24"/>
        </w:rPr>
        <w:t>个spot中的真实比例，</w:t>
      </w:r>
      <m:oMath>
        <m:sSub>
          <m:sSubPr>
            <m:ctrlPr>
              <w:rPr>
                <w:rFonts w:ascii="Cambria Math" w:hAnsi="Cambria Math"/>
                <w:i/>
                <w:iCs/>
                <w:sz w:val="24"/>
              </w:rPr>
            </m:ctrlPr>
          </m:sSubPr>
          <m:e>
            <m:limUpp>
              <m:limUppPr>
                <m:ctrlPr>
                  <w:rPr>
                    <w:rFonts w:ascii="Cambria Math" w:hAnsi="Cambria Math"/>
                    <w:i/>
                    <w:iCs/>
                    <w:sz w:val="24"/>
                  </w:rPr>
                </m:ctrlPr>
              </m:limUppPr>
              <m:e>
                <m:r>
                  <m:rPr/>
                  <w:rPr>
                    <w:rFonts w:ascii="Cambria Math" w:hAnsi="Cambria Math"/>
                    <w:sz w:val="24"/>
                  </w:rPr>
                  <m:t>x</m:t>
                </m:r>
                <m:ctrlPr>
                  <w:rPr>
                    <w:rFonts w:ascii="Cambria Math" w:hAnsi="Cambria Math"/>
                    <w:i/>
                    <w:iCs/>
                    <w:sz w:val="24"/>
                  </w:rPr>
                </m:ctrlPr>
              </m:e>
              <m:lim>
                <m:r>
                  <m:rPr/>
                  <w:rPr>
                    <w:rFonts w:ascii="Cambria Math" w:hAnsi="Cambria Math"/>
                    <w:sz w:val="24"/>
                  </w:rPr>
                  <m:t>~</m:t>
                </m:r>
                <m:ctrlPr>
                  <w:rPr>
                    <w:rFonts w:ascii="Cambria Math" w:hAnsi="Cambria Math"/>
                    <w:i/>
                    <w:iCs/>
                    <w:sz w:val="24"/>
                  </w:rPr>
                </m:ctrlPr>
              </m:lim>
            </m:limUpp>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oMath>
      <w:r>
        <w:rPr>
          <w:rFonts w:hint="eastAsia" w:ascii="Times New Roman" w:hAnsi="Times New Roman"/>
          <w:sz w:val="24"/>
        </w:rPr>
        <w:t>和</w:t>
      </w:r>
      <m:oMath>
        <m:sSub>
          <m:sSubPr>
            <m:ctrlPr>
              <w:rPr>
                <w:rFonts w:ascii="Cambria Math" w:hAnsi="Cambria Math"/>
                <w:i/>
                <w:iCs/>
                <w:sz w:val="24"/>
              </w:rPr>
            </m:ctrlPr>
          </m:sSubPr>
          <m:e>
            <m:r>
              <m:rPr/>
              <w:rPr>
                <w:rFonts w:hint="eastAsia" w:ascii="Cambria Math" w:hAnsi="Cambria Math"/>
                <w:sz w:val="24"/>
              </w:rPr>
              <m:t>x</m:t>
            </m:r>
            <m:ctrlPr>
              <w:rPr>
                <w:rFonts w:ascii="Cambria Math" w:hAnsi="Cambria Math"/>
                <w:i/>
                <w:iCs/>
                <w:sz w:val="24"/>
              </w:rPr>
            </m:ctrlPr>
          </m:e>
          <m:sub>
            <m:r>
              <m:rPr/>
              <w:rPr>
                <w:rFonts w:ascii="Cambria Math" w:hAnsi="Cambria Math"/>
                <w:sz w:val="24"/>
              </w:rPr>
              <m:t>i</m:t>
            </m:r>
            <m:ctrlPr>
              <w:rPr>
                <w:rFonts w:ascii="Cambria Math" w:hAnsi="Cambria Math"/>
                <w:i/>
                <w:iCs/>
                <w:sz w:val="24"/>
              </w:rPr>
            </m:ctrlPr>
          </m:sub>
        </m:sSub>
      </m:oMath>
      <w:r>
        <w:rPr>
          <w:rFonts w:hint="eastAsia" w:ascii="Times New Roman" w:hAnsi="Times New Roman"/>
          <w:sz w:val="24"/>
        </w:rPr>
        <w:t>的定义和计算与PCC相同，对于一个spot来说，COSSIM值越高，表示预测结果越准确。</w:t>
      </w:r>
    </w:p>
    <w:p w14:paraId="78D20A79">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（4）RMSE。首先计算了每个基因在所有spot的空间表达的z分数，然后使用以下公式计算：</w:t>
      </w:r>
    </w:p>
    <w:p w14:paraId="2CE8BE51">
      <w:pPr>
        <w:autoSpaceDE w:val="0"/>
        <w:autoSpaceDN w:val="0"/>
        <w:adjustRightInd w:val="0"/>
        <w:spacing w:before="120" w:line="360" w:lineRule="auto"/>
        <w:ind w:firstLine="480" w:firstLineChars="200"/>
        <w:rPr>
          <w:rFonts w:ascii="Times New Roman" w:hAnsi="Times New Roman"/>
          <w:sz w:val="24"/>
        </w:rPr>
      </w:pPr>
      <m:oMathPara>
        <m:oMath>
          <m:eqArr>
            <m:eqArrPr>
              <m:maxDist m:val="1"/>
              <m:ctrlPr>
                <w:rPr>
                  <w:rFonts w:ascii="Cambria Math" w:hAnsi="Cambria Math"/>
                  <w:sz w:val="24"/>
                </w:rPr>
              </m:ctrlPr>
            </m:eqArrPr>
            <m:e>
              <m:r>
                <m:rPr/>
                <w:rPr>
                  <w:rFonts w:ascii="Cambria Math" w:hAnsi="Cambria Math"/>
                  <w:sz w:val="24"/>
                </w:rPr>
                <m:t>RMSE</m:t>
              </m:r>
              <m:r>
                <m:rPr>
                  <m:sty m:val="p"/>
                </m:rPr>
                <w:rPr>
                  <w:rFonts w:ascii="Cambria Math" w:hAnsi="Cambria Math"/>
                  <w:sz w:val="24"/>
                </w:rPr>
                <m:t>=</m:t>
              </m:r>
              <m:rad>
                <m:radPr>
                  <m:degHide m:val="1"/>
                  <m:ctrlPr>
                    <w:rPr>
                      <w:rFonts w:ascii="Cambria Math" w:hAnsi="Cambria Math"/>
                      <w:sz w:val="24"/>
                    </w:rPr>
                  </m:ctrlPr>
                </m:radPr>
                <m:deg>
                  <m:ctrlPr>
                    <w:rPr>
                      <w:rFonts w:ascii="Cambria Math" w:hAnsi="Cambria Math"/>
                      <w:sz w:val="24"/>
                    </w:rPr>
                  </m:ctrlPr>
                </m:deg>
                <m:e>
                  <m:f>
                    <m:fPr>
                      <m:ctrlPr>
                        <w:rPr>
                          <w:rFonts w:ascii="Cambria Math" w:hAnsi="Cambria Math"/>
                          <w:sz w:val="24"/>
                        </w:rPr>
                      </m:ctrlPr>
                    </m:fPr>
                    <m:num>
                      <m:r>
                        <m:rPr>
                          <m:sty m:val="p"/>
                        </m:rPr>
                        <w:rPr>
                          <w:rFonts w:ascii="Cambria Math" w:hAnsi="Cambria Math"/>
                          <w:sz w:val="24"/>
                        </w:rPr>
                        <m:t>1</m:t>
                      </m:r>
                      <m:ctrlPr>
                        <w:rPr>
                          <w:rFonts w:ascii="Cambria Math" w:hAnsi="Cambria Math"/>
                          <w:sz w:val="24"/>
                        </w:rPr>
                      </m:ctrlPr>
                    </m:num>
                    <m:den>
                      <m:r>
                        <m:rPr/>
                        <w:rPr>
                          <w:rFonts w:ascii="Cambria Math" w:hAnsi="Cambria Math"/>
                          <w:sz w:val="24"/>
                        </w:rPr>
                        <m:t>M</m:t>
                      </m:r>
                      <m:ctrlPr>
                        <w:rPr>
                          <w:rFonts w:ascii="Cambria Math" w:hAnsi="Cambria Math"/>
                          <w:sz w:val="24"/>
                        </w:rPr>
                      </m:ctrlPr>
                    </m:den>
                  </m:f>
                  <m:nary>
                    <m:naryPr>
                      <m:chr m:val="∑"/>
                      <m:grow m:val="1"/>
                      <m:limLoc m:val="undOvr"/>
                      <m:ctrlPr>
                        <w:rPr>
                          <w:rFonts w:ascii="Cambria Math" w:hAnsi="Cambria Math"/>
                          <w:sz w:val="24"/>
                        </w:rPr>
                      </m:ctrlPr>
                    </m:naryPr>
                    <m:sub>
                      <m:r>
                        <m:rPr/>
                        <w:rPr>
                          <w:rFonts w:ascii="Cambria Math" w:hAnsi="Cambria Math"/>
                          <w:sz w:val="24"/>
                        </w:rPr>
                        <m:t>j</m:t>
                      </m:r>
                      <m:r>
                        <m:rPr>
                          <m:sty m:val="p"/>
                        </m:rPr>
                        <w:rPr>
                          <w:rFonts w:ascii="Cambria Math" w:hAnsi="Cambria Math"/>
                          <w:sz w:val="24"/>
                        </w:rPr>
                        <m:t>=1</m:t>
                      </m:r>
                      <m:ctrlPr>
                        <w:rPr>
                          <w:rFonts w:ascii="Cambria Math" w:hAnsi="Cambria Math"/>
                          <w:sz w:val="24"/>
                        </w:rPr>
                      </m:ctrlPr>
                    </m:sub>
                    <m:sup>
                      <m:r>
                        <m:rPr/>
                        <w:rPr>
                          <w:rFonts w:hint="eastAsia" w:ascii="Cambria Math" w:hAnsi="Cambria Math"/>
                          <w:sz w:val="24"/>
                        </w:rPr>
                        <m:t>m</m:t>
                      </m:r>
                      <m:ctrlPr>
                        <w:rPr>
                          <w:rFonts w:ascii="Cambria Math" w:hAnsi="Cambria Math"/>
                          <w:sz w:val="24"/>
                        </w:rPr>
                      </m:ctrlPr>
                    </m:sup>
                    <m:e>
                      <m:r>
                        <m:rPr>
                          <m:sty m:val="p"/>
                        </m:rPr>
                        <w:rPr>
                          <w:rFonts w:ascii="Cambria Math" w:hAnsi="Cambria Math"/>
                          <w:sz w:val="24"/>
                        </w:rPr>
                        <m:t xml:space="preserve"> </m:t>
                      </m:r>
                      <m:ctrlPr>
                        <w:rPr>
                          <w:rFonts w:ascii="Cambria Math" w:hAnsi="Cambria Math"/>
                          <w:sz w:val="24"/>
                        </w:rPr>
                      </m:ctrlPr>
                    </m:e>
                  </m:nary>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limUpp>
                                <m:limUppPr>
                                  <m:ctrlPr>
                                    <w:rPr>
                                      <w:rFonts w:ascii="Cambria Math" w:hAnsi="Cambria Math"/>
                                      <w:sz w:val="24"/>
                                    </w:rPr>
                                  </m:ctrlPr>
                                </m:limUppPr>
                                <m:e>
                                  <m:r>
                                    <m:rPr/>
                                    <w:rPr>
                                      <w:rFonts w:ascii="Cambria Math" w:hAnsi="Cambria Math"/>
                                      <w:sz w:val="24"/>
                                    </w:rPr>
                                    <m:t>z</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ij</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z</m:t>
                              </m:r>
                              <m:ctrlPr>
                                <w:rPr>
                                  <w:rFonts w:ascii="Cambria Math" w:hAnsi="Cambria Math"/>
                                  <w:sz w:val="24"/>
                                </w:rPr>
                              </m:ctrlPr>
                            </m:e>
                            <m:sub>
                              <m:r>
                                <m:rPr/>
                                <w:rPr>
                                  <w:rFonts w:ascii="Cambria Math" w:hAnsi="Cambria Math"/>
                                  <w:sz w:val="24"/>
                                </w:rPr>
                                <m:t>ij</m:t>
                              </m:r>
                              <m:ctrlPr>
                                <w:rPr>
                                  <w:rFonts w:ascii="Cambria Math" w:hAnsi="Cambria Math"/>
                                  <w:sz w:val="24"/>
                                </w:rPr>
                              </m:ctrlPr>
                            </m:sub>
                          </m:sSub>
                          <m:ctrlPr>
                            <w:rPr>
                              <w:rFonts w:ascii="Cambria Math" w:hAnsi="Cambria Math"/>
                              <w:sz w:val="24"/>
                            </w:rPr>
                          </m:ctrlPr>
                        </m:e>
                      </m:d>
                      <m:ctrlPr>
                        <w:rPr>
                          <w:rFonts w:ascii="Cambria Math" w:hAnsi="Cambria Math"/>
                          <w:sz w:val="24"/>
                        </w:rPr>
                      </m:ctrlPr>
                    </m:e>
                    <m:sup>
                      <m:r>
                        <m:rPr>
                          <m:sty m:val="p"/>
                        </m:rPr>
                        <w:rPr>
                          <w:rFonts w:ascii="Cambria Math" w:hAnsi="Cambria Math"/>
                          <w:sz w:val="24"/>
                        </w:rPr>
                        <m:t>2</m:t>
                      </m:r>
                      <m:ctrlPr>
                        <w:rPr>
                          <w:rFonts w:ascii="Cambria Math" w:hAnsi="Cambria Math"/>
                          <w:sz w:val="24"/>
                        </w:rPr>
                      </m:ctrlPr>
                    </m:sup>
                  </m:sSup>
                  <m:ctrlPr>
                    <w:rPr>
                      <w:rFonts w:ascii="Cambria Math" w:hAnsi="Cambria Math"/>
                      <w:sz w:val="24"/>
                    </w:rPr>
                  </m:ctrlPr>
                </m:e>
              </m:rad>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3.21</m:t>
                  </m:r>
                  <m:ctrlPr>
                    <w:rPr>
                      <w:rFonts w:ascii="Cambria Math" w:hAnsi="Cambria Math"/>
                      <w:sz w:val="24"/>
                    </w:rPr>
                  </m:ctrlPr>
                </m:e>
              </m:d>
              <m:ctrlPr>
                <w:rPr>
                  <w:rFonts w:ascii="Cambria Math" w:hAnsi="Cambria Math"/>
                  <w:sz w:val="24"/>
                </w:rPr>
              </m:ctrlPr>
            </m:e>
          </m:eqArr>
        </m:oMath>
      </m:oMathPara>
    </w:p>
    <w:p w14:paraId="77D9F4BA">
      <w:pPr>
        <w:autoSpaceDE w:val="0"/>
        <w:autoSpaceDN w:val="0"/>
        <w:adjustRightInd w:val="0"/>
        <w:snapToGrid w:val="0"/>
        <w:spacing w:before="120" w:line="360" w:lineRule="auto"/>
        <w:ind w:firstLine="480" w:firstLineChars="200"/>
        <w:rPr>
          <w:rFonts w:ascii="Times New Roman" w:hAnsi="Times New Roman"/>
          <w:sz w:val="24"/>
        </w:rPr>
      </w:pPr>
      <w:r>
        <w:rPr>
          <w:rFonts w:ascii="Times New Roman" w:hAnsi="Times New Roman"/>
          <w:sz w:val="24"/>
        </w:rPr>
        <w:t>其中</w:t>
      </w:r>
      <w:r>
        <w:rPr>
          <w:rFonts w:hint="eastAsia" w:ascii="Times New Roman" w:hAnsi="Times New Roman"/>
          <w:sz w:val="24"/>
        </w:rPr>
        <w:t>，</w:t>
      </w:r>
      <m:oMath>
        <m:sSub>
          <m:sSubPr>
            <m:ctrlPr>
              <w:rPr>
                <w:rFonts w:ascii="Cambria Math" w:hAnsi="Cambria Math"/>
                <w:i/>
                <w:iCs/>
                <w:sz w:val="24"/>
              </w:rPr>
            </m:ctrlPr>
          </m:sSubPr>
          <m:e>
            <m:r>
              <m:rPr/>
              <w:rPr>
                <w:rFonts w:ascii="Cambria Math" w:hAnsi="Cambria Math"/>
                <w:sz w:val="24"/>
              </w:rPr>
              <m:t>z</m:t>
            </m:r>
            <m:ctrlPr>
              <w:rPr>
                <w:rFonts w:ascii="Cambria Math" w:hAnsi="Cambria Math"/>
                <w:i/>
                <w:iCs/>
                <w:sz w:val="24"/>
              </w:rPr>
            </m:ctrlPr>
          </m:e>
          <m:sub>
            <m:r>
              <m:rPr/>
              <w:rPr>
                <w:rFonts w:ascii="Cambria Math" w:hAnsi="Cambria Math"/>
                <w:sz w:val="24"/>
              </w:rPr>
              <m:t>ij</m:t>
            </m:r>
            <m:ctrlPr>
              <w:rPr>
                <w:rFonts w:ascii="Cambria Math" w:hAnsi="Cambria Math"/>
                <w:i/>
                <w:iCs/>
                <w:sz w:val="24"/>
              </w:rPr>
            </m:ctrlPr>
          </m:sub>
        </m:sSub>
      </m:oMath>
      <w:r>
        <w:rPr>
          <w:rFonts w:ascii="Times New Roman" w:hAnsi="Times New Roman"/>
          <w:sz w:val="24"/>
        </w:rPr>
        <w:t>和</w:t>
      </w:r>
      <m:oMath>
        <m:sSub>
          <m:sSubPr>
            <m:ctrlPr>
              <w:rPr>
                <w:rFonts w:ascii="Cambria Math" w:hAnsi="Cambria Math"/>
                <w:i/>
                <w:iCs/>
                <w:sz w:val="24"/>
              </w:rPr>
            </m:ctrlPr>
          </m:sSubPr>
          <m:e>
            <m:limUpp>
              <m:limUppPr>
                <m:ctrlPr>
                  <w:rPr>
                    <w:rFonts w:ascii="Cambria Math" w:hAnsi="Cambria Math"/>
                    <w:i/>
                    <w:iCs/>
                    <w:sz w:val="24"/>
                  </w:rPr>
                </m:ctrlPr>
              </m:limUppPr>
              <m:e>
                <m:r>
                  <m:rPr/>
                  <w:rPr>
                    <w:rFonts w:ascii="Cambria Math" w:hAnsi="Cambria Math"/>
                    <w:sz w:val="24"/>
                  </w:rPr>
                  <m:t>z</m:t>
                </m:r>
                <m:ctrlPr>
                  <w:rPr>
                    <w:rFonts w:ascii="Cambria Math" w:hAnsi="Cambria Math"/>
                    <w:i/>
                    <w:iCs/>
                    <w:sz w:val="24"/>
                  </w:rPr>
                </m:ctrlPr>
              </m:e>
              <m:lim>
                <m:r>
                  <m:rPr/>
                  <w:rPr>
                    <w:rFonts w:ascii="Cambria Math" w:hAnsi="Cambria Math"/>
                    <w:sz w:val="24"/>
                  </w:rPr>
                  <m:t>~</m:t>
                </m:r>
                <m:ctrlPr>
                  <w:rPr>
                    <w:rFonts w:ascii="Cambria Math" w:hAnsi="Cambria Math"/>
                    <w:i/>
                    <w:iCs/>
                    <w:sz w:val="24"/>
                  </w:rPr>
                </m:ctrlPr>
              </m:lim>
            </m:limUpp>
            <m:ctrlPr>
              <w:rPr>
                <w:rFonts w:ascii="Cambria Math" w:hAnsi="Cambria Math"/>
                <w:i/>
                <w:iCs/>
                <w:sz w:val="24"/>
              </w:rPr>
            </m:ctrlPr>
          </m:e>
          <m:sub>
            <m:r>
              <m:rPr/>
              <w:rPr>
                <w:rFonts w:ascii="Cambria Math" w:hAnsi="Cambria Math"/>
                <w:sz w:val="24"/>
              </w:rPr>
              <m:t>ij</m:t>
            </m:r>
            <m:ctrlPr>
              <w:rPr>
                <w:rFonts w:ascii="Cambria Math" w:hAnsi="Cambria Math"/>
                <w:i/>
                <w:iCs/>
                <w:sz w:val="24"/>
              </w:rPr>
            </m:ctrlPr>
          </m:sub>
        </m:sSub>
      </m:oMath>
      <w:r>
        <w:rPr>
          <w:rFonts w:ascii="Times New Roman" w:hAnsi="Times New Roman"/>
          <w:sz w:val="24"/>
        </w:rPr>
        <w:t>分别表示基因</w:t>
      </w:r>
      <m:oMath>
        <m:r>
          <m:rPr/>
          <w:rPr>
            <w:rFonts w:ascii="Cambria Math" w:hAnsi="Cambria Math"/>
            <w:sz w:val="24"/>
          </w:rPr>
          <m:t>i</m:t>
        </m:r>
      </m:oMath>
      <w:r>
        <w:rPr>
          <w:rFonts w:ascii="Times New Roman" w:hAnsi="Times New Roman"/>
          <w:sz w:val="24"/>
        </w:rPr>
        <w:t>在点</w:t>
      </w:r>
      <m:oMath>
        <m:r>
          <m:rPr>
            <m:nor/>
          </m:rPr>
          <w:rPr>
            <w:rFonts w:ascii="Times New Roman" w:hAnsi="Times New Roman"/>
            <w:i/>
            <w:iCs/>
            <w:sz w:val="24"/>
          </w:rPr>
          <m:t>j</m:t>
        </m:r>
      </m:oMath>
      <w:r>
        <w:rPr>
          <w:rFonts w:ascii="Times New Roman" w:hAnsi="Times New Roman"/>
          <w:sz w:val="24"/>
        </w:rPr>
        <w:t>的空间表达的</w:t>
      </w:r>
      <m:oMath>
        <m:sSub>
          <m:sSubPr>
            <m:ctrlPr>
              <w:rPr>
                <w:rFonts w:ascii="Cambria Math" w:hAnsi="Cambria Math"/>
                <w:i/>
                <w:iCs/>
                <w:sz w:val="24"/>
              </w:rPr>
            </m:ctrlPr>
          </m:sSubPr>
          <m:e>
            <m:r>
              <m:rPr/>
              <w:rPr>
                <w:rFonts w:ascii="Cambria Math" w:hAnsi="Cambria Math"/>
                <w:sz w:val="24"/>
              </w:rPr>
              <m:t>z</m:t>
            </m:r>
            <m:ctrlPr>
              <w:rPr>
                <w:rFonts w:ascii="Cambria Math" w:hAnsi="Cambria Math"/>
                <w:i/>
                <w:iCs/>
                <w:sz w:val="24"/>
              </w:rPr>
            </m:ctrlPr>
          </m:e>
          <m:sub>
            <m:r>
              <m:rPr/>
              <w:rPr>
                <w:rFonts w:ascii="Cambria Math" w:hAnsi="Cambria Math"/>
                <w:sz w:val="24"/>
              </w:rPr>
              <m:t xml:space="preserve"> </m:t>
            </m:r>
            <m:ctrlPr>
              <w:rPr>
                <w:rFonts w:ascii="Cambria Math" w:hAnsi="Cambria Math"/>
                <w:i/>
                <w:iCs/>
                <w:sz w:val="24"/>
              </w:rPr>
            </m:ctrlPr>
          </m:sub>
        </m:sSub>
      </m:oMath>
      <w:r>
        <w:rPr>
          <w:rFonts w:ascii="Times New Roman" w:hAnsi="Times New Roman"/>
          <w:sz w:val="24"/>
        </w:rPr>
        <w:t>分数在真实情况和预测结果中的值。对于一个基因来说，较低的RMSE值表示预测的准确性更高。</w:t>
      </w:r>
    </w:p>
    <w:p w14:paraId="7F8E7276">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（5）JSD。JSD使用相对信息熵（即Kullback-Leibler散度）来确定两个分布之间的差异。首先按照以下方式计算每个基因的空间分布概率：</w:t>
      </w:r>
    </w:p>
    <w:p w14:paraId="16CA127B">
      <w:pPr>
        <w:autoSpaceDE w:val="0"/>
        <w:autoSpaceDN w:val="0"/>
        <w:adjustRightInd w:val="0"/>
        <w:spacing w:before="120" w:line="360" w:lineRule="auto"/>
        <w:ind w:firstLine="480" w:firstLineChars="200"/>
        <w:rPr>
          <w:rFonts w:ascii="Times New Roman" w:hAnsi="Times New Roman"/>
          <w:sz w:val="24"/>
        </w:rPr>
      </w:pPr>
      <m:oMathPara>
        <m:oMath>
          <m:eqArr>
            <m:eqArrPr>
              <m:maxDist m:val="1"/>
              <m:ctrlPr>
                <w:rPr>
                  <w:rFonts w:ascii="Cambria Math" w:hAnsi="Cambria Math"/>
                  <w:sz w:val="24"/>
                </w:rPr>
              </m:ctrlPr>
            </m:eqArrPr>
            <m:e>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ij</m:t>
                  </m:r>
                  <m:ctrlPr>
                    <w:rPr>
                      <w:rFonts w:ascii="Cambria Math" w:hAnsi="Cambria Math"/>
                      <w:sz w:val="24"/>
                    </w:rPr>
                  </m:ctrlP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ij</m:t>
                      </m:r>
                      <m:ctrlPr>
                        <w:rPr>
                          <w:rFonts w:ascii="Cambria Math" w:hAnsi="Cambria Math"/>
                          <w:sz w:val="24"/>
                        </w:rPr>
                      </m:ctrlPr>
                    </m:sub>
                  </m:sSub>
                  <m:ctrlPr>
                    <w:rPr>
                      <w:rFonts w:ascii="Cambria Math" w:hAnsi="Cambria Math"/>
                      <w:sz w:val="24"/>
                    </w:rPr>
                  </m:ctrlPr>
                </m:num>
                <m:den>
                  <m:nary>
                    <m:naryPr>
                      <m:chr m:val="∑"/>
                      <m:grow m:val="1"/>
                      <m:limLoc m:val="subSup"/>
                      <m:ctrlPr>
                        <w:rPr>
                          <w:rFonts w:ascii="Cambria Math" w:hAnsi="Cambria Math"/>
                          <w:sz w:val="24"/>
                        </w:rPr>
                      </m:ctrlPr>
                    </m:naryPr>
                    <m:sub>
                      <m:r>
                        <m:rPr/>
                        <w:rPr>
                          <w:rFonts w:ascii="Cambria Math" w:hAnsi="Cambria Math"/>
                          <w:sz w:val="24"/>
                        </w:rPr>
                        <m:t>j</m:t>
                      </m:r>
                      <m:r>
                        <m:rPr>
                          <m:sty m:val="p"/>
                        </m:rPr>
                        <w:rPr>
                          <w:rFonts w:ascii="Cambria Math" w:hAnsi="Cambria Math"/>
                          <w:sz w:val="24"/>
                        </w:rPr>
                        <m:t>=1</m:t>
                      </m:r>
                      <m:ctrlPr>
                        <w:rPr>
                          <w:rFonts w:ascii="Cambria Math" w:hAnsi="Cambria Math"/>
                          <w:sz w:val="24"/>
                        </w:rPr>
                      </m:ctrlPr>
                    </m:sub>
                    <m:sup>
                      <m:r>
                        <m:rPr/>
                        <w:rPr>
                          <w:rFonts w:ascii="Cambria Math" w:hAnsi="Cambria Math"/>
                          <w:sz w:val="24"/>
                        </w:rPr>
                        <m:t>M</m:t>
                      </m:r>
                      <m:ctrlPr>
                        <w:rPr>
                          <w:rFonts w:ascii="Cambria Math" w:hAnsi="Cambria Math"/>
                          <w:sz w:val="24"/>
                        </w:rPr>
                      </m:ctrlPr>
                    </m:sup>
                    <m:e>
                      <m:r>
                        <m:rPr>
                          <m:sty m:val="p"/>
                        </m:rPr>
                        <w:rPr>
                          <w:rFonts w:ascii="Cambria Math" w:hAnsi="Cambria Math"/>
                          <w:sz w:val="24"/>
                        </w:rPr>
                        <m:t xml:space="preserve"> </m:t>
                      </m:r>
                      <m:ctrlPr>
                        <w:rPr>
                          <w:rFonts w:ascii="Cambria Math" w:hAnsi="Cambria Math"/>
                          <w:sz w:val="24"/>
                        </w:rPr>
                      </m:ctrlPr>
                    </m:e>
                  </m:nary>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ij</m:t>
                      </m:r>
                      <m:ctrlPr>
                        <w:rPr>
                          <w:rFonts w:ascii="Cambria Math" w:hAnsi="Cambria Math"/>
                          <w:sz w:val="24"/>
                        </w:rPr>
                      </m:ctrlPr>
                    </m:sub>
                  </m:sSub>
                  <m:ctrlPr>
                    <w:rPr>
                      <w:rFonts w:ascii="Cambria Math" w:hAnsi="Cambria Math"/>
                      <w:sz w:val="24"/>
                    </w:rPr>
                  </m:ctrlPr>
                </m:den>
              </m:f>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3.22</m:t>
                  </m:r>
                  <m:ctrlPr>
                    <w:rPr>
                      <w:rFonts w:ascii="Cambria Math" w:hAnsi="Cambria Math"/>
                      <w:sz w:val="24"/>
                    </w:rPr>
                  </m:ctrlPr>
                </m:e>
              </m:d>
              <m:ctrlPr>
                <w:rPr>
                  <w:rFonts w:ascii="Cambria Math" w:hAnsi="Cambria Math"/>
                  <w:sz w:val="24"/>
                </w:rPr>
              </m:ctrlPr>
            </m:e>
          </m:eqArr>
        </m:oMath>
      </m:oMathPara>
    </w:p>
    <w:p w14:paraId="6133A4AA">
      <w:pPr>
        <w:autoSpaceDE w:val="0"/>
        <w:autoSpaceDN w:val="0"/>
        <w:adjustRightInd w:val="0"/>
        <w:snapToGrid w:val="0"/>
        <w:spacing w:before="120" w:line="360" w:lineRule="auto"/>
        <w:ind w:firstLine="480" w:firstLineChars="200"/>
        <w:rPr>
          <w:rFonts w:ascii="Times New Roman" w:hAnsi="Times New Roman"/>
          <w:sz w:val="24"/>
        </w:rPr>
      </w:pPr>
      <w:r>
        <w:rPr>
          <w:rFonts w:hint="eastAsia" w:ascii="Times New Roman" w:hAnsi="Times New Roman"/>
          <w:sz w:val="24"/>
        </w:rPr>
        <w:t>其中，</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ij</m:t>
            </m:r>
            <m:ctrlPr>
              <w:rPr>
                <w:rFonts w:ascii="Cambria Math" w:hAnsi="Cambria Math"/>
                <w:sz w:val="24"/>
              </w:rPr>
            </m:ctrlPr>
          </m:sub>
        </m:sSub>
      </m:oMath>
      <w:r>
        <w:rPr>
          <w:rFonts w:hint="eastAsia" w:ascii="Times New Roman" w:hAnsi="Times New Roman"/>
          <w:sz w:val="24"/>
        </w:rPr>
        <w:t>表示基因</w:t>
      </w:r>
      <m:oMath>
        <m:r>
          <m:rPr/>
          <w:rPr>
            <w:rFonts w:ascii="Cambria Math" w:hAnsi="Cambria Math"/>
            <w:sz w:val="24"/>
          </w:rPr>
          <m:t>i</m:t>
        </m:r>
      </m:oMath>
      <w:r>
        <w:rPr>
          <w:rFonts w:hint="eastAsia" w:ascii="Times New Roman" w:hAnsi="Times New Roman"/>
          <w:sz w:val="24"/>
        </w:rPr>
        <w:t>在点</w:t>
      </w:r>
      <m:oMath>
        <m:r>
          <m:rPr/>
          <w:rPr>
            <w:rFonts w:ascii="Cambria Math" w:hAnsi="Cambria Math"/>
            <w:sz w:val="24"/>
          </w:rPr>
          <m:t>j</m:t>
        </m:r>
      </m:oMath>
      <w:r>
        <w:rPr>
          <w:rFonts w:hint="eastAsia" w:ascii="Times New Roman" w:hAnsi="Times New Roman"/>
          <w:sz w:val="24"/>
        </w:rPr>
        <w:t xml:space="preserve">的表达量, </w:t>
      </w:r>
      <m:oMath>
        <m:r>
          <m:rPr>
            <m:nor/>
          </m:rPr>
          <w:rPr>
            <w:rFonts w:hint="eastAsia" w:ascii="Times New Roman" w:hAnsi="Times New Roman"/>
            <w:i/>
            <w:iCs/>
            <w:sz w:val="24"/>
          </w:rPr>
          <m:t>M</m:t>
        </m:r>
      </m:oMath>
      <w:r>
        <w:rPr>
          <w:rFonts w:hint="eastAsia" w:ascii="Times New Roman" w:hAnsi="Times New Roman"/>
          <w:sz w:val="24"/>
        </w:rPr>
        <w:t>是点的总数，而</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ij</m:t>
            </m:r>
            <m:ctrlPr>
              <w:rPr>
                <w:rFonts w:ascii="Cambria Math" w:hAnsi="Cambria Math"/>
                <w:sz w:val="24"/>
              </w:rPr>
            </m:ctrlPr>
          </m:sub>
        </m:sSub>
      </m:oMath>
      <w:r>
        <w:rPr>
          <w:rFonts w:hint="eastAsia" w:ascii="Times New Roman" w:hAnsi="Times New Roman"/>
          <w:sz w:val="24"/>
        </w:rPr>
        <w:t>是基因</w:t>
      </w:r>
      <m:oMath>
        <m:r>
          <m:rPr/>
          <w:rPr>
            <w:rFonts w:ascii="Cambria Math" w:hAnsi="Cambria Math"/>
            <w:sz w:val="24"/>
          </w:rPr>
          <m:t>i</m:t>
        </m:r>
      </m:oMath>
      <w:r>
        <w:rPr>
          <w:rFonts w:hint="eastAsia" w:ascii="Times New Roman" w:hAnsi="Times New Roman"/>
          <w:sz w:val="24"/>
        </w:rPr>
        <w:t>在点</w:t>
      </w:r>
      <m:oMath>
        <m:r>
          <m:rPr/>
          <w:rPr>
            <w:rFonts w:ascii="Cambria Math" w:hAnsi="Cambria Math"/>
            <w:sz w:val="24"/>
          </w:rPr>
          <m:t>j</m:t>
        </m:r>
      </m:oMath>
      <w:r>
        <w:rPr>
          <w:rFonts w:hint="eastAsia" w:ascii="Times New Roman" w:hAnsi="Times New Roman"/>
          <w:sz w:val="24"/>
        </w:rPr>
        <w:t>的分布概率。</w:t>
      </w:r>
    </w:p>
    <w:p w14:paraId="1540FF80">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然后，使用以下公式计算每个基因的JSD值：</w:t>
      </w:r>
    </w:p>
    <w:p w14:paraId="7996A0FF">
      <w:pPr>
        <w:autoSpaceDE w:val="0"/>
        <w:autoSpaceDN w:val="0"/>
        <w:adjustRightInd w:val="0"/>
        <w:spacing w:before="120" w:line="360" w:lineRule="auto"/>
        <w:ind w:firstLine="480" w:firstLineChars="200"/>
        <w:rPr>
          <w:rFonts w:ascii="Times New Roman" w:hAnsi="Times New Roman"/>
          <w:sz w:val="24"/>
        </w:rPr>
      </w:pPr>
      <m:oMathPara>
        <m:oMath>
          <m:eqArr>
            <m:eqArrPr>
              <m:maxDist m:val="1"/>
              <m:ctrlPr>
                <w:rPr>
                  <w:rFonts w:ascii="Cambria Math" w:hAnsi="Cambria Math"/>
                  <w:sz w:val="24"/>
                </w:rPr>
              </m:ctrlPr>
            </m:eqArrPr>
            <m:e>
              <m:r>
                <m:rPr/>
                <w:rPr>
                  <w:rFonts w:ascii="Cambria Math" w:hAnsi="Cambria Math"/>
                  <w:sz w:val="24"/>
                </w:rPr>
                <m:t>JSD</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m:t>
                  </m:r>
                  <m:ctrlPr>
                    <w:rPr>
                      <w:rFonts w:ascii="Cambria Math" w:hAnsi="Cambria Math"/>
                      <w:sz w:val="24"/>
                    </w:rPr>
                  </m:ctrlPr>
                </m:num>
                <m:den>
                  <m:r>
                    <m:rPr>
                      <m:sty m:val="p"/>
                    </m:rPr>
                    <w:rPr>
                      <w:rFonts w:ascii="Cambria Math" w:hAnsi="Cambria Math"/>
                      <w:sz w:val="24"/>
                    </w:rPr>
                    <m:t>2</m:t>
                  </m:r>
                  <m:ctrlPr>
                    <w:rPr>
                      <w:rFonts w:ascii="Cambria Math" w:hAnsi="Cambria Math"/>
                      <w:sz w:val="24"/>
                    </w:rPr>
                  </m:ctrlPr>
                </m:den>
              </m:f>
              <m:r>
                <m:rPr/>
                <w:rPr>
                  <w:rFonts w:ascii="Cambria Math" w:hAnsi="Cambria Math"/>
                  <w:sz w:val="24"/>
                </w:rPr>
                <m:t>KL</m:t>
              </m:r>
              <m:d>
                <m:dPr>
                  <m:ctrlPr>
                    <w:rPr>
                      <w:rFonts w:ascii="Cambria Math" w:hAnsi="Cambria Math"/>
                      <w:sz w:val="24"/>
                    </w:rPr>
                  </m:ctrlPr>
                </m:dPr>
                <m:e>
                  <m:sSub>
                    <m:sSubPr>
                      <m:ctrlPr>
                        <w:rPr>
                          <w:rFonts w:ascii="Cambria Math" w:hAnsi="Cambria Math"/>
                          <w:sz w:val="24"/>
                        </w:rPr>
                      </m:ctrlPr>
                    </m:sSubPr>
                    <m:e>
                      <m:limUpp>
                        <m:limUppPr>
                          <m:ctrlPr>
                            <w:rPr>
                              <w:rFonts w:ascii="Cambria Math" w:hAnsi="Cambria Math"/>
                              <w:sz w:val="24"/>
                            </w:rPr>
                          </m:ctrlPr>
                        </m:limUppPr>
                        <m:e>
                          <m:r>
                            <m:rPr/>
                            <w:rPr>
                              <w:rFonts w:ascii="Cambria Math" w:hAnsi="Cambria Math"/>
                              <w:sz w:val="24"/>
                            </w:rPr>
                            <m:t>P</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Sub>
                  <m:d>
                    <m:dPr>
                      <m:begChr m:val="|"/>
                      <m:ctrlPr>
                        <w:rPr>
                          <w:rFonts w:ascii="Cambria Math" w:hAnsi="Cambria Math"/>
                          <w:sz w:val="24"/>
                        </w:rPr>
                      </m:ctrlPr>
                    </m:dPr>
                    <m:e>
                      <m:f>
                        <m:fPr>
                          <m:ctrlPr>
                            <w:rPr>
                              <w:rFonts w:ascii="Cambria Math" w:hAnsi="Cambria Math"/>
                              <w:sz w:val="24"/>
                            </w:rPr>
                          </m:ctrlPr>
                        </m:fPr>
                        <m:num>
                          <m:sSub>
                            <m:sSubPr>
                              <m:ctrlPr>
                                <w:rPr>
                                  <w:rFonts w:ascii="Cambria Math" w:hAnsi="Cambria Math"/>
                                  <w:sz w:val="24"/>
                                </w:rPr>
                              </m:ctrlPr>
                            </m:sSubPr>
                            <m:e>
                              <m:limUpp>
                                <m:limUppPr>
                                  <m:ctrlPr>
                                    <w:rPr>
                                      <w:rFonts w:ascii="Cambria Math" w:hAnsi="Cambria Math"/>
                                      <w:sz w:val="24"/>
                                    </w:rPr>
                                  </m:ctrlPr>
                                </m:limUppPr>
                                <m:e>
                                  <m:r>
                                    <m:rPr/>
                                    <w:rPr>
                                      <w:rFonts w:ascii="Cambria Math" w:hAnsi="Cambria Math"/>
                                      <w:sz w:val="24"/>
                                    </w:rPr>
                                    <m:t>P</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num>
                        <m:den>
                          <m:r>
                            <m:rPr>
                              <m:sty m:val="p"/>
                            </m:rPr>
                            <w:rPr>
                              <w:rFonts w:ascii="Cambria Math" w:hAnsi="Cambria Math"/>
                              <w:sz w:val="24"/>
                            </w:rPr>
                            <m:t>2</m:t>
                          </m:r>
                          <m:ctrlPr>
                            <w:rPr>
                              <w:rFonts w:ascii="Cambria Math" w:hAnsi="Cambria Math"/>
                              <w:sz w:val="24"/>
                            </w:rPr>
                          </m:ctrlPr>
                        </m:den>
                      </m:f>
                      <m:ctrlPr>
                        <w:rPr>
                          <w:rFonts w:ascii="Cambria Math" w:hAnsi="Cambria Math"/>
                          <w:sz w:val="24"/>
                        </w:rPr>
                      </m:ctrlPr>
                    </m:e>
                  </m:d>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1</m:t>
                      </m:r>
                      <m:ctrlPr>
                        <w:rPr>
                          <w:rFonts w:ascii="Cambria Math" w:hAnsi="Cambria Math"/>
                          <w:sz w:val="24"/>
                        </w:rPr>
                      </m:ctrlPr>
                    </m:num>
                    <m:den>
                      <m:r>
                        <m:rPr>
                          <m:sty m:val="p"/>
                        </m:rPr>
                        <w:rPr>
                          <w:rFonts w:ascii="Cambria Math" w:hAnsi="Cambria Math"/>
                          <w:sz w:val="24"/>
                        </w:rPr>
                        <m:t>2</m:t>
                      </m:r>
                      <m:ctrlPr>
                        <w:rPr>
                          <w:rFonts w:ascii="Cambria Math" w:hAnsi="Cambria Math"/>
                          <w:sz w:val="24"/>
                        </w:rPr>
                      </m:ctrlPr>
                    </m:den>
                  </m:f>
                  <m:r>
                    <m:rPr/>
                    <w:rPr>
                      <w:rFonts w:ascii="Cambria Math" w:hAnsi="Cambria Math"/>
                      <w:sz w:val="24"/>
                    </w:rPr>
                    <m:t>KL</m:t>
                  </m:r>
                  <m:d>
                    <m:dPr>
                      <m:endChr m:val=""/>
                      <m:ctrlPr>
                        <w:rPr>
                          <w:rFonts w:ascii="Cambria Math" w:hAnsi="Cambria Math"/>
                          <w:sz w:val="24"/>
                        </w:rPr>
                      </m:ctrlPr>
                    </m:dPr>
                    <m:e>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i</m:t>
                          </m:r>
                          <m:ctrlPr>
                            <w:rPr>
                              <w:rFonts w:ascii="Cambria Math" w:hAnsi="Cambria Math"/>
                              <w:sz w:val="24"/>
                            </w:rPr>
                          </m:ctrlPr>
                        </m:sub>
                      </m:sSub>
                      <m:d>
                        <m:dPr>
                          <m:begChr m:val="|"/>
                          <m:ctrlPr>
                            <w:rPr>
                              <w:rFonts w:ascii="Cambria Math" w:hAnsi="Cambria Math"/>
                              <w:sz w:val="24"/>
                            </w:rPr>
                          </m:ctrlPr>
                        </m:dPr>
                        <m:e>
                          <m:f>
                            <m:fPr>
                              <m:ctrlPr>
                                <w:rPr>
                                  <w:rFonts w:ascii="Cambria Math" w:hAnsi="Cambria Math"/>
                                  <w:sz w:val="24"/>
                                </w:rPr>
                              </m:ctrlPr>
                            </m:fPr>
                            <m:num>
                              <m:sSub>
                                <m:sSubPr>
                                  <m:ctrlPr>
                                    <w:rPr>
                                      <w:rFonts w:ascii="Cambria Math" w:hAnsi="Cambria Math"/>
                                      <w:sz w:val="24"/>
                                    </w:rPr>
                                  </m:ctrlPr>
                                </m:sSubPr>
                                <m:e>
                                  <m:limUpp>
                                    <m:limUppPr>
                                      <m:ctrlPr>
                                        <w:rPr>
                                          <w:rFonts w:ascii="Cambria Math" w:hAnsi="Cambria Math"/>
                                          <w:sz w:val="24"/>
                                        </w:rPr>
                                      </m:ctrlPr>
                                    </m:limUppPr>
                                    <m:e>
                                      <m:r>
                                        <m:rPr/>
                                        <w:rPr>
                                          <w:rFonts w:ascii="Cambria Math" w:hAnsi="Cambria Math"/>
                                          <w:sz w:val="24"/>
                                        </w:rPr>
                                        <m:t>P</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i</m:t>
                                  </m:r>
                                  <m:ctrlPr>
                                    <w:rPr>
                                      <w:rFonts w:ascii="Cambria Math" w:hAnsi="Cambria Math"/>
                                      <w:sz w:val="24"/>
                                    </w:rPr>
                                  </m:ctrlPr>
                                </m:sub>
                              </m:sSub>
                              <m:ctrlPr>
                                <w:rPr>
                                  <w:rFonts w:ascii="Cambria Math" w:hAnsi="Cambria Math"/>
                                  <w:sz w:val="24"/>
                                </w:rPr>
                              </m:ctrlPr>
                            </m:num>
                            <m:den>
                              <m:r>
                                <m:rPr>
                                  <m:sty m:val="p"/>
                                </m:rPr>
                                <w:rPr>
                                  <w:rFonts w:ascii="Cambria Math" w:hAnsi="Cambria Math"/>
                                  <w:sz w:val="24"/>
                                </w:rPr>
                                <m:t>2</m:t>
                              </m:r>
                              <m:ctrlPr>
                                <w:rPr>
                                  <w:rFonts w:ascii="Cambria Math" w:hAnsi="Cambria Math"/>
                                  <w:sz w:val="24"/>
                                </w:rPr>
                              </m:ctrlPr>
                            </m:den>
                          </m:f>
                          <m:ctrlPr>
                            <w:rPr>
                              <w:rFonts w:ascii="Cambria Math" w:hAnsi="Cambria Math"/>
                              <w:sz w:val="24"/>
                            </w:rPr>
                          </m:ctrlPr>
                        </m:e>
                      </m:d>
                      <m:ctrlPr>
                        <w:rPr>
                          <w:rFonts w:ascii="Cambria Math" w:hAnsi="Cambria Math"/>
                          <w:sz w:val="24"/>
                        </w:rPr>
                      </m:ctrlPr>
                    </m:e>
                  </m:d>
                  <m:ctrlPr>
                    <w:rPr>
                      <w:rFonts w:ascii="Cambria Math" w:hAnsi="Cambria Math"/>
                      <w:sz w:val="24"/>
                    </w:rPr>
                  </m:ctrlPr>
                </m:e>
              </m:d>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3.23</m:t>
                  </m:r>
                  <m:ctrlPr>
                    <w:rPr>
                      <w:rFonts w:ascii="Cambria Math" w:hAnsi="Cambria Math"/>
                      <w:sz w:val="24"/>
                    </w:rPr>
                  </m:ctrlPr>
                </m:e>
              </m:d>
              <m:ctrlPr>
                <w:rPr>
                  <w:rFonts w:ascii="Cambria Math" w:hAnsi="Cambria Math"/>
                  <w:sz w:val="24"/>
                </w:rPr>
              </m:ctrlPr>
            </m:e>
          </m:eqArr>
        </m:oMath>
      </m:oMathPara>
    </w:p>
    <w:p w14:paraId="22AB4C20">
      <w:pPr>
        <w:autoSpaceDE w:val="0"/>
        <w:autoSpaceDN w:val="0"/>
        <w:adjustRightInd w:val="0"/>
        <w:spacing w:before="120" w:line="360" w:lineRule="auto"/>
        <w:ind w:firstLine="480" w:firstLineChars="200"/>
        <w:rPr>
          <w:rFonts w:ascii="Times New Roman" w:hAnsi="Times New Roman"/>
          <w:sz w:val="24"/>
        </w:rPr>
      </w:pPr>
      <m:oMathPara>
        <m:oMath>
          <m:eqArr>
            <m:eqArrPr>
              <m:maxDist m:val="1"/>
              <m:ctrlPr>
                <w:rPr>
                  <w:rFonts w:ascii="Cambria Math" w:hAnsi="Cambria Math"/>
                  <w:sz w:val="24"/>
                </w:rPr>
              </m:ctrlPr>
            </m:eqArrPr>
            <m:e>
              <m:r>
                <m:rPr/>
                <w:rPr>
                  <w:rFonts w:ascii="Cambria Math" w:hAnsi="Cambria Math"/>
                  <w:sz w:val="24"/>
                </w:rPr>
                <m:t>KL</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b</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nary>
                <m:naryPr>
                  <m:chr m:val="∑"/>
                  <m:grow m:val="1"/>
                  <m:limLoc m:val="undOvr"/>
                  <m:ctrlPr>
                    <w:rPr>
                      <w:rFonts w:ascii="Cambria Math" w:hAnsi="Cambria Math"/>
                      <w:sz w:val="24"/>
                    </w:rPr>
                  </m:ctrlPr>
                </m:naryPr>
                <m:sub>
                  <m:r>
                    <m:rPr/>
                    <w:rPr>
                      <w:rFonts w:ascii="Cambria Math" w:hAnsi="Cambria Math"/>
                      <w:sz w:val="24"/>
                    </w:rPr>
                    <m:t>j</m:t>
                  </m:r>
                  <m:r>
                    <m:rPr>
                      <m:sty m:val="p"/>
                    </m:rPr>
                    <w:rPr>
                      <w:rFonts w:ascii="Cambria Math" w:hAnsi="Cambria Math"/>
                      <w:sz w:val="24"/>
                    </w:rPr>
                    <m:t>=0</m:t>
                  </m:r>
                  <m:ctrlPr>
                    <w:rPr>
                      <w:rFonts w:ascii="Cambria Math" w:hAnsi="Cambria Math"/>
                      <w:sz w:val="24"/>
                    </w:rPr>
                  </m:ctrlPr>
                </m:sub>
                <m:sup>
                  <m:r>
                    <m:rPr/>
                    <w:rPr>
                      <w:rFonts w:ascii="Cambria Math" w:hAnsi="Cambria Math"/>
                      <w:sz w:val="24"/>
                    </w:rPr>
                    <m:t>M</m:t>
                  </m:r>
                  <m:ctrlPr>
                    <w:rPr>
                      <w:rFonts w:ascii="Cambria Math" w:hAnsi="Cambria Math"/>
                      <w:sz w:val="24"/>
                    </w:rPr>
                  </m:ctrlPr>
                </m:sup>
                <m:e>
                  <m:r>
                    <m:rPr>
                      <m:sty m:val="p"/>
                    </m:rPr>
                    <w:rPr>
                      <w:rFonts w:ascii="Cambria Math" w:hAnsi="Cambria Math"/>
                      <w:sz w:val="24"/>
                    </w:rPr>
                    <m:t xml:space="preserve"> </m:t>
                  </m:r>
                  <m:ctrlPr>
                    <w:rPr>
                      <w:rFonts w:ascii="Cambria Math" w:hAnsi="Cambria Math"/>
                      <w:sz w:val="24"/>
                    </w:rPr>
                  </m:ctrlPr>
                </m:e>
              </m:nary>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ij</m:t>
                  </m:r>
                  <m:ctrlPr>
                    <w:rPr>
                      <w:rFonts w:ascii="Cambria Math" w:hAnsi="Cambria Math"/>
                      <w:sz w:val="24"/>
                    </w:rPr>
                  </m:ctrlPr>
                </m:sub>
              </m:sSub>
              <m:r>
                <m:rPr>
                  <m:sty m:val="p"/>
                </m:rPr>
                <w:rPr>
                  <w:rFonts w:ascii="Cambria Math" w:hAnsi="Cambria Math"/>
                  <w:sz w:val="24"/>
                </w:rPr>
                <m:t>×</m:t>
              </m:r>
              <m:r>
                <m:rPr/>
                <w:rPr>
                  <w:rFonts w:ascii="Cambria Math" w:hAnsi="Cambria Math"/>
                  <w:sz w:val="24"/>
                </w:rPr>
                <m:t>log</m:t>
              </m:r>
              <m:f>
                <m:fPr>
                  <m:ctrlPr>
                    <w:rPr>
                      <w:rFonts w:ascii="Cambria Math" w:hAnsi="Cambria Math"/>
                      <w:sz w:val="24"/>
                    </w:rPr>
                  </m:ctrlPr>
                </m:fPr>
                <m:num>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ij</m:t>
                      </m:r>
                      <m:ctrlPr>
                        <w:rPr>
                          <w:rFonts w:ascii="Cambria Math" w:hAnsi="Cambria Math"/>
                          <w:sz w:val="24"/>
                        </w:rPr>
                      </m:ctrlPr>
                    </m:sub>
                  </m:sSub>
                  <m:ctrlPr>
                    <w:rPr>
                      <w:rFonts w:ascii="Cambria Math" w:hAnsi="Cambria Math"/>
                      <w:sz w:val="24"/>
                    </w:rPr>
                  </m:ctrlPr>
                </m:num>
                <m:den>
                  <m:sSub>
                    <m:sSubPr>
                      <m:ctrlPr>
                        <w:rPr>
                          <w:rFonts w:ascii="Cambria Math" w:hAnsi="Cambria Math"/>
                          <w:sz w:val="24"/>
                        </w:rPr>
                      </m:ctrlPr>
                    </m:sSubPr>
                    <m:e>
                      <m:r>
                        <m:rPr/>
                        <w:rPr>
                          <w:rFonts w:ascii="Cambria Math" w:hAnsi="Cambria Math"/>
                          <w:sz w:val="24"/>
                        </w:rPr>
                        <m:t>b</m:t>
                      </m:r>
                      <m:ctrlPr>
                        <w:rPr>
                          <w:rFonts w:ascii="Cambria Math" w:hAnsi="Cambria Math"/>
                          <w:sz w:val="24"/>
                        </w:rPr>
                      </m:ctrlPr>
                    </m:e>
                    <m:sub>
                      <m:r>
                        <m:rPr/>
                        <w:rPr>
                          <w:rFonts w:ascii="Cambria Math" w:hAnsi="Cambria Math"/>
                          <w:sz w:val="24"/>
                        </w:rPr>
                        <m:t>ij</m:t>
                      </m:r>
                      <m:ctrlPr>
                        <w:rPr>
                          <w:rFonts w:ascii="Cambria Math" w:hAnsi="Cambria Math"/>
                          <w:sz w:val="24"/>
                        </w:rPr>
                      </m:ctrlPr>
                    </m:sub>
                  </m:sSub>
                  <m:ctrlPr>
                    <w:rPr>
                      <w:rFonts w:ascii="Cambria Math" w:hAnsi="Cambria Math"/>
                      <w:sz w:val="24"/>
                    </w:rPr>
                  </m:ctrlPr>
                </m:den>
              </m:f>
              <m:r>
                <m:rPr>
                  <m:sty m:val="p"/>
                </m:rPr>
                <w:rPr>
                  <w:rFonts w:ascii="Cambria Math" w:hAnsi="Cambria Math"/>
                  <w:sz w:val="24"/>
                </w:rPr>
                <m:t>)#</m:t>
              </m:r>
              <m:d>
                <m:dPr>
                  <m:begChr m:val="（"/>
                  <m:endChr m:val="）"/>
                  <m:ctrlPr>
                    <w:rPr>
                      <w:rFonts w:ascii="Cambria Math" w:hAnsi="Cambria Math"/>
                      <w:sz w:val="24"/>
                    </w:rPr>
                  </m:ctrlPr>
                </m:dPr>
                <m:e>
                  <m:r>
                    <m:rPr>
                      <m:sty m:val="p"/>
                    </m:rPr>
                    <w:rPr>
                      <w:rFonts w:ascii="Cambria Math" w:hAnsi="Cambria Math"/>
                      <w:sz w:val="24"/>
                    </w:rPr>
                    <m:t>3.24</m:t>
                  </m:r>
                  <m:ctrlPr>
                    <w:rPr>
                      <w:rFonts w:ascii="Cambria Math" w:hAnsi="Cambria Math"/>
                      <w:sz w:val="24"/>
                    </w:rPr>
                  </m:ctrlPr>
                </m:e>
              </m:d>
              <m:ctrlPr>
                <w:rPr>
                  <w:rFonts w:ascii="Cambria Math" w:hAnsi="Cambria Math"/>
                  <w:sz w:val="24"/>
                </w:rPr>
              </m:ctrlPr>
            </m:e>
          </m:eqArr>
        </m:oMath>
      </m:oMathPara>
    </w:p>
    <w:p w14:paraId="20943A46">
      <w:pPr>
        <w:autoSpaceDE w:val="0"/>
        <w:autoSpaceDN w:val="0"/>
        <w:adjustRightInd w:val="0"/>
        <w:snapToGrid w:val="0"/>
        <w:spacing w:before="120" w:line="360" w:lineRule="auto"/>
        <w:ind w:firstLine="480" w:firstLineChars="200"/>
        <w:rPr>
          <w:rFonts w:ascii="Times New Roman" w:hAnsi="Times New Roman"/>
          <w:sz w:val="24"/>
        </w:rPr>
      </w:pPr>
      <w:r>
        <w:rPr>
          <w:rFonts w:hint="eastAsia" w:ascii="Times New Roman" w:hAnsi="Times New Roman"/>
          <w:sz w:val="24"/>
        </w:rPr>
        <w:t>其中，</w:t>
      </w:r>
      <m:oMath>
        <m:sSub>
          <m:sSubPr>
            <m:ctrlPr>
              <w:rPr>
                <w:rFonts w:ascii="Cambria Math" w:hAnsi="Cambria Math"/>
                <w:sz w:val="24"/>
              </w:rPr>
            </m:ctrlPr>
          </m:sSubPr>
          <m:e>
            <m:r>
              <m:rPr/>
              <w:rPr>
                <w:rFonts w:ascii="Cambria Math" w:hAnsi="Cambria Math"/>
                <w:sz w:val="24"/>
              </w:rPr>
              <m:t>P</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hint="eastAsia" w:ascii="Times New Roman" w:hAnsi="Times New Roman"/>
          <w:sz w:val="24"/>
        </w:rPr>
        <w:t>和</w:t>
      </w:r>
      <m:oMath>
        <m:sSub>
          <m:sSubPr>
            <m:ctrlPr>
              <w:rPr>
                <w:rFonts w:ascii="Cambria Math" w:hAnsi="Cambria Math"/>
                <w:sz w:val="24"/>
              </w:rPr>
            </m:ctrlPr>
          </m:sSubPr>
          <m:e>
            <m:limUpp>
              <m:limUppPr>
                <m:ctrlPr>
                  <w:rPr>
                    <w:rFonts w:ascii="Cambria Math" w:hAnsi="Cambria Math"/>
                    <w:sz w:val="24"/>
                  </w:rPr>
                </m:ctrlPr>
              </m:limUppPr>
              <m:e>
                <m:r>
                  <m:rPr/>
                  <w:rPr>
                    <w:rFonts w:ascii="Cambria Math" w:hAnsi="Cambria Math"/>
                    <w:sz w:val="24"/>
                  </w:rPr>
                  <m:t>P</m:t>
                </m:r>
                <m:ctrlPr>
                  <w:rPr>
                    <w:rFonts w:ascii="Cambria Math" w:hAnsi="Cambria Math"/>
                    <w:sz w:val="24"/>
                  </w:rPr>
                </m:ctrlPr>
              </m:e>
              <m:lim>
                <m:r>
                  <m:rPr>
                    <m:sty m:val="p"/>
                  </m:rPr>
                  <w:rPr>
                    <w:rFonts w:ascii="Cambria Math" w:hAnsi="Cambria Math"/>
                    <w:sz w:val="24"/>
                  </w:rPr>
                  <m:t>~</m:t>
                </m:r>
                <m:ctrlPr>
                  <w:rPr>
                    <w:rFonts w:ascii="Cambria Math" w:hAnsi="Cambria Math"/>
                    <w:sz w:val="24"/>
                  </w:rPr>
                </m:ctrlPr>
              </m:lim>
            </m:limUpp>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hint="eastAsia" w:ascii="Times New Roman" w:hAnsi="Times New Roman"/>
          <w:sz w:val="24"/>
        </w:rPr>
        <w:t>分别表示基因</w:t>
      </w:r>
      <m:oMath>
        <m:r>
          <m:rPr/>
          <w:rPr>
            <w:rFonts w:ascii="Cambria Math" w:hAnsi="Cambria Math"/>
            <w:sz w:val="24"/>
          </w:rPr>
          <m:t>i</m:t>
        </m:r>
      </m:oMath>
      <w:r>
        <w:rPr>
          <w:rFonts w:hint="eastAsia" w:ascii="Times New Roman" w:hAnsi="Times New Roman"/>
          <w:sz w:val="24"/>
        </w:rPr>
        <w:t>在真实情况和预测结果中的空间分布概率向量，</w:t>
      </w:r>
      <m:oMath>
        <m:r>
          <m:rPr/>
          <w:rPr>
            <w:rFonts w:ascii="Cambria Math" w:hAnsi="Cambria Math"/>
            <w:sz w:val="24"/>
          </w:rPr>
          <m:t>KL</m:t>
        </m:r>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sSub>
          <m:sSubPr>
            <m:ctrlPr>
              <w:rPr>
                <w:rFonts w:ascii="Cambria Math" w:hAnsi="Cambria Math"/>
                <w:sz w:val="24"/>
              </w:rPr>
            </m:ctrlPr>
          </m:sSubPr>
          <m:e>
            <m:r>
              <m:rPr/>
              <w:rPr>
                <w:rFonts w:ascii="Cambria Math" w:hAnsi="Cambria Math"/>
                <w:sz w:val="24"/>
              </w:rPr>
              <m:t>b</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m:sty m:val="p"/>
          </m:rPr>
          <w:rPr>
            <w:rFonts w:ascii="Cambria Math" w:hAnsi="Cambria Math"/>
            <w:sz w:val="24"/>
          </w:rPr>
          <m:t>)</m:t>
        </m:r>
      </m:oMath>
      <w:r>
        <w:rPr>
          <w:rFonts w:hint="eastAsia" w:ascii="Times New Roman" w:hAnsi="Times New Roman"/>
          <w:sz w:val="24"/>
        </w:rPr>
        <w:t>是两个概率分布</w:t>
      </w:r>
      <m:oMath>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hint="eastAsia" w:ascii="Times New Roman" w:hAnsi="Times New Roman"/>
          <w:sz w:val="24"/>
        </w:rPr>
        <w:t>和</w:t>
      </w:r>
      <m:oMath>
        <m:sSub>
          <m:sSubPr>
            <m:ctrlPr>
              <w:rPr>
                <w:rFonts w:ascii="Cambria Math" w:hAnsi="Cambria Math"/>
                <w:sz w:val="24"/>
              </w:rPr>
            </m:ctrlPr>
          </m:sSubPr>
          <m:e>
            <m:r>
              <m:rPr/>
              <w:rPr>
                <w:rFonts w:ascii="Cambria Math" w:hAnsi="Cambria Math"/>
                <w:sz w:val="24"/>
              </w:rPr>
              <m:t>b</m:t>
            </m:r>
            <m:ctrlPr>
              <w:rPr>
                <w:rFonts w:ascii="Cambria Math" w:hAnsi="Cambria Math"/>
                <w:sz w:val="24"/>
              </w:rPr>
            </m:ctrlPr>
          </m:e>
          <m:sub>
            <m:r>
              <m:rPr/>
              <w:rPr>
                <w:rFonts w:ascii="Cambria Math" w:hAnsi="Cambria Math"/>
                <w:sz w:val="24"/>
              </w:rPr>
              <m:t>i</m:t>
            </m:r>
            <m:ctrlPr>
              <w:rPr>
                <w:rFonts w:ascii="Cambria Math" w:hAnsi="Cambria Math"/>
                <w:sz w:val="24"/>
              </w:rPr>
            </m:ctrlPr>
          </m:sub>
        </m:sSub>
      </m:oMath>
      <w:r>
        <w:rPr>
          <w:rFonts w:hint="eastAsia" w:ascii="Times New Roman" w:hAnsi="Times New Roman"/>
          <w:sz w:val="24"/>
        </w:rPr>
        <w:t>之间的Kullback-Leibler散度，而</w:t>
      </w:r>
      <m:oMath>
        <m:sSub>
          <m:sSubPr>
            <m:ctrlPr>
              <w:rPr>
                <w:rFonts w:ascii="Cambria Math" w:hAnsi="Cambria Math"/>
                <w:sz w:val="24"/>
              </w:rPr>
            </m:ctrlPr>
          </m:sSubPr>
          <m:e>
            <m:r>
              <m:rPr/>
              <w:rPr>
                <w:rFonts w:ascii="Cambria Math" w:hAnsi="Cambria Math"/>
                <w:sz w:val="24"/>
              </w:rPr>
              <m:t>a</m:t>
            </m:r>
            <m:ctrlPr>
              <w:rPr>
                <w:rFonts w:ascii="Cambria Math" w:hAnsi="Cambria Math"/>
                <w:sz w:val="24"/>
              </w:rPr>
            </m:ctrlPr>
          </m:e>
          <m:sub>
            <m:r>
              <m:rPr/>
              <w:rPr>
                <w:rFonts w:ascii="Cambria Math" w:hAnsi="Cambria Math"/>
                <w:sz w:val="24"/>
              </w:rPr>
              <m:t>ij</m:t>
            </m:r>
            <m:ctrlPr>
              <w:rPr>
                <w:rFonts w:ascii="Cambria Math" w:hAnsi="Cambria Math"/>
                <w:sz w:val="24"/>
              </w:rPr>
            </m:ctrlPr>
          </m:sub>
        </m:sSub>
      </m:oMath>
      <w:r>
        <w:rPr>
          <w:rFonts w:hint="eastAsia" w:ascii="Times New Roman" w:hAnsi="Times New Roman"/>
          <w:sz w:val="24"/>
        </w:rPr>
        <w:t>和</w:t>
      </w:r>
      <m:oMath>
        <m:sSub>
          <m:sSubPr>
            <m:ctrlPr>
              <w:rPr>
                <w:rFonts w:ascii="Cambria Math" w:hAnsi="Cambria Math"/>
                <w:sz w:val="24"/>
              </w:rPr>
            </m:ctrlPr>
          </m:sSubPr>
          <m:e>
            <m:r>
              <m:rPr/>
              <w:rPr>
                <w:rFonts w:ascii="Cambria Math" w:hAnsi="Cambria Math"/>
                <w:sz w:val="24"/>
              </w:rPr>
              <m:t>b</m:t>
            </m:r>
            <m:ctrlPr>
              <w:rPr>
                <w:rFonts w:ascii="Cambria Math" w:hAnsi="Cambria Math"/>
                <w:sz w:val="24"/>
              </w:rPr>
            </m:ctrlPr>
          </m:e>
          <m:sub>
            <m:r>
              <m:rPr/>
              <w:rPr>
                <w:rFonts w:ascii="Cambria Math" w:hAnsi="Cambria Math"/>
                <w:sz w:val="24"/>
              </w:rPr>
              <m:t>ij</m:t>
            </m:r>
            <m:ctrlPr>
              <w:rPr>
                <w:rFonts w:ascii="Cambria Math" w:hAnsi="Cambria Math"/>
                <w:sz w:val="24"/>
              </w:rPr>
            </m:ctrlPr>
          </m:sub>
        </m:sSub>
      </m:oMath>
      <w:r>
        <w:rPr>
          <w:rFonts w:hint="eastAsia" w:ascii="Times New Roman" w:hAnsi="Times New Roman"/>
          <w:sz w:val="24"/>
        </w:rPr>
        <w:t>分别表示基因</w:t>
      </w:r>
      <m:oMath>
        <m:r>
          <m:rPr/>
          <w:rPr>
            <w:rFonts w:ascii="Cambria Math" w:hAnsi="Cambria Math"/>
            <w:sz w:val="24"/>
          </w:rPr>
          <m:t>i</m:t>
        </m:r>
      </m:oMath>
      <w:r>
        <w:rPr>
          <w:rFonts w:hint="eastAsia" w:ascii="Times New Roman" w:hAnsi="Times New Roman"/>
          <w:sz w:val="24"/>
        </w:rPr>
        <w:t>在点</w:t>
      </w:r>
      <m:oMath>
        <m:r>
          <m:rPr/>
          <w:rPr>
            <w:rFonts w:ascii="Cambria Math" w:hAnsi="Cambria Math"/>
            <w:sz w:val="24"/>
          </w:rPr>
          <m:t>j</m:t>
        </m:r>
      </m:oMath>
      <w:r>
        <w:rPr>
          <w:rFonts w:hint="eastAsia" w:ascii="Times New Roman" w:hAnsi="Times New Roman"/>
          <w:sz w:val="24"/>
        </w:rPr>
        <w:t>的预测概率和真实概率。对于一个基因来说，较低的JSD值表示预测的准确性更高。</w:t>
      </w:r>
    </w:p>
    <w:p w14:paraId="718C5051">
      <w:pPr>
        <w:pStyle w:val="4"/>
        <w:spacing w:before="120" w:after="120" w:line="300" w:lineRule="auto"/>
        <w:jc w:val="left"/>
        <w:rPr>
          <w:rFonts w:hint="eastAsia" w:ascii="宋体" w:hAnsi="宋体" w:eastAsia="宋体"/>
        </w:rPr>
      </w:pPr>
      <w:bookmarkStart w:id="16" w:name="OLE_LINK63"/>
      <w:r>
        <w:rPr>
          <w:rFonts w:ascii="宋体" w:hAnsi="宋体" w:eastAsia="宋体" w:cs="宋体"/>
          <w:b w:val="0"/>
          <w:bCs w:val="0"/>
          <w:sz w:val="24"/>
          <w:szCs w:val="24"/>
          <w:lang w:bidi="ar"/>
        </w:rPr>
        <w:t>3.2.1.</w:t>
      </w:r>
      <w:r>
        <w:rPr>
          <w:rFonts w:hint="eastAsia" w:ascii="宋体" w:hAnsi="宋体" w:eastAsia="宋体" w:cs="宋体"/>
          <w:b w:val="0"/>
          <w:bCs w:val="0"/>
          <w:sz w:val="24"/>
          <w:szCs w:val="24"/>
          <w:lang w:bidi="ar"/>
        </w:rPr>
        <w:t>4对比结果及分析</w:t>
      </w:r>
    </w:p>
    <w:bookmarkEnd w:id="16"/>
    <w:p w14:paraId="2EF218CE">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采用上述实验设置，为了验证GCIRS模型在细胞组成推断方面的准确性，将GCIRS与10种常见的空间转录组学数据细胞组成推断方法在三个数据集上进行比较，在PCC、SSIM、COSSIM、RMSE和JSD这五种评价指标上对推断结果进行比较。对比算法为基于统计的方法</w:t>
      </w:r>
      <w:bookmarkStart w:id="17" w:name="OLE_LINK2"/>
      <w:r>
        <w:rPr>
          <w:rFonts w:hint="eastAsia" w:ascii="Times New Roman" w:hAnsi="Times New Roman"/>
          <w:sz w:val="24"/>
        </w:rPr>
        <w:t>Cell2location</w:t>
      </w:r>
      <w:bookmarkEnd w:id="17"/>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_Ref201803049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[18]</w:t>
      </w:r>
      <w:r>
        <w:rPr>
          <w:rFonts w:ascii="Times New Roman" w:hAnsi="Times New Roman"/>
          <w:sz w:val="24"/>
          <w:vertAlign w:val="superscript"/>
        </w:rPr>
        <w:fldChar w:fldCharType="end"/>
      </w:r>
      <w:r>
        <w:rPr>
          <w:rFonts w:hint="eastAsia" w:ascii="Times New Roman" w:hAnsi="Times New Roman"/>
          <w:sz w:val="24"/>
        </w:rPr>
        <w:t>、RCTD</w:t>
      </w:r>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_Ref201802971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[19]</w:t>
      </w:r>
      <w:r>
        <w:rPr>
          <w:rFonts w:ascii="Times New Roman" w:hAnsi="Times New Roman"/>
          <w:sz w:val="24"/>
          <w:vertAlign w:val="superscript"/>
        </w:rPr>
        <w:fldChar w:fldCharType="end"/>
      </w:r>
      <w:r>
        <w:rPr>
          <w:rFonts w:hint="eastAsia" w:ascii="Times New Roman" w:hAnsi="Times New Roman"/>
          <w:sz w:val="24"/>
        </w:rPr>
        <w:t xml:space="preserve"> 和 Stereoscope</w:t>
      </w:r>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_Ref201863134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[20]</w:t>
      </w:r>
      <w:r>
        <w:rPr>
          <w:rFonts w:ascii="Times New Roman" w:hAnsi="Times New Roman"/>
          <w:sz w:val="24"/>
          <w:vertAlign w:val="superscript"/>
        </w:rPr>
        <w:fldChar w:fldCharType="end"/>
      </w:r>
      <w:r>
        <w:rPr>
          <w:rFonts w:hint="eastAsia" w:ascii="Times New Roman" w:hAnsi="Times New Roman"/>
          <w:sz w:val="24"/>
        </w:rPr>
        <w:t>，基于回归的算法</w:t>
      </w:r>
      <w:bookmarkStart w:id="18" w:name="OLE_LINK5"/>
      <w:r>
        <w:rPr>
          <w:rFonts w:ascii="Times New Roman" w:hAnsi="Times New Roman"/>
          <w:sz w:val="24"/>
        </w:rPr>
        <w:t>Seurat</w:t>
      </w:r>
      <w:bookmarkEnd w:id="18"/>
      <w:r>
        <w:rPr>
          <w:rFonts w:ascii="Times New Roman" w:hAnsi="Times New Roman"/>
          <w:sz w:val="24"/>
          <w:vertAlign w:val="superscript"/>
        </w:rPr>
        <w:fldChar w:fldCharType="begin"/>
      </w:r>
      <w:r>
        <w:rPr>
          <w:rFonts w:ascii="Times New Roman" w:hAnsi="Times New Roman"/>
          <w:sz w:val="24"/>
          <w:vertAlign w:val="superscript"/>
        </w:rPr>
        <w:instrText xml:space="preserve"> REF _Ref202807758 \r \h  \* MERGEFORMAT </w:instrText>
      </w:r>
      <w:r>
        <w:rPr>
          <w:rFonts w:ascii="Times New Roman" w:hAnsi="Times New Roman"/>
          <w:sz w:val="24"/>
          <w:vertAlign w:val="superscript"/>
        </w:rPr>
        <w:fldChar w:fldCharType="separate"/>
      </w:r>
      <w:r>
        <w:rPr>
          <w:rFonts w:ascii="Times New Roman" w:hAnsi="Times New Roman"/>
          <w:sz w:val="24"/>
          <w:vertAlign w:val="superscript"/>
        </w:rPr>
        <w:t>[47]</w:t>
      </w:r>
      <w:r>
        <w:rPr>
          <w:rFonts w:ascii="Times New Roman" w:hAnsi="Times New Roman"/>
          <w:sz w:val="24"/>
          <w:vertAlign w:val="superscript"/>
        </w:rPr>
        <w:fldChar w:fldCharType="end"/>
      </w:r>
      <w:r>
        <w:rPr>
          <w:rFonts w:hint="eastAsia" w:ascii="Times New Roman" w:hAnsi="Times New Roman"/>
          <w:sz w:val="24"/>
        </w:rPr>
        <w:t>、SpatialDWLS</w:t>
      </w:r>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_Ref201802930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[24]</w:t>
      </w:r>
      <w:r>
        <w:rPr>
          <w:rFonts w:ascii="Times New Roman" w:hAnsi="Times New Roman"/>
          <w:sz w:val="24"/>
          <w:vertAlign w:val="superscript"/>
        </w:rPr>
        <w:fldChar w:fldCharType="end"/>
      </w:r>
      <w:r>
        <w:rPr>
          <w:rFonts w:hint="eastAsia" w:ascii="Times New Roman" w:hAnsi="Times New Roman"/>
          <w:sz w:val="24"/>
        </w:rPr>
        <w:t>、SPOTlight</w:t>
      </w:r>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_Ref201802856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[25]</w:t>
      </w:r>
      <w:r>
        <w:rPr>
          <w:rFonts w:ascii="Times New Roman" w:hAnsi="Times New Roman"/>
          <w:sz w:val="24"/>
          <w:vertAlign w:val="superscript"/>
        </w:rPr>
        <w:fldChar w:fldCharType="end"/>
      </w:r>
      <w:r>
        <w:rPr>
          <w:rFonts w:hint="eastAsia" w:ascii="Times New Roman" w:hAnsi="Times New Roman"/>
          <w:sz w:val="24"/>
        </w:rPr>
        <w:t xml:space="preserve">和 </w:t>
      </w:r>
      <w:r>
        <w:rPr>
          <w:rFonts w:ascii="Times New Roman" w:hAnsi="Times New Roman"/>
          <w:sz w:val="24"/>
        </w:rPr>
        <w:t>CARD</w:t>
      </w:r>
      <w:r>
        <w:rPr>
          <w:rFonts w:ascii="Times New Roman" w:hAnsi="Times New Roman"/>
          <w:sz w:val="24"/>
          <w:vertAlign w:val="superscript"/>
        </w:rPr>
        <w:fldChar w:fldCharType="begin"/>
      </w:r>
      <w:r>
        <w:rPr>
          <w:rFonts w:ascii="Times New Roman" w:hAnsi="Times New Roman"/>
          <w:sz w:val="24"/>
          <w:vertAlign w:val="superscript"/>
        </w:rPr>
        <w:instrText xml:space="preserve"> REF _Ref202172940 \r \h  \* MERGEFORMAT </w:instrText>
      </w:r>
      <w:r>
        <w:rPr>
          <w:rFonts w:ascii="Times New Roman" w:hAnsi="Times New Roman"/>
          <w:sz w:val="24"/>
          <w:vertAlign w:val="superscript"/>
        </w:rPr>
        <w:fldChar w:fldCharType="separate"/>
      </w:r>
      <w:r>
        <w:rPr>
          <w:rFonts w:ascii="Times New Roman" w:hAnsi="Times New Roman"/>
          <w:sz w:val="24"/>
          <w:vertAlign w:val="superscript"/>
        </w:rPr>
        <w:t>[48]</w:t>
      </w:r>
      <w:r>
        <w:rPr>
          <w:rFonts w:ascii="Times New Roman" w:hAnsi="Times New Roman"/>
          <w:sz w:val="24"/>
          <w:vertAlign w:val="superscript"/>
        </w:rPr>
        <w:fldChar w:fldCharType="end"/>
      </w:r>
      <w:r>
        <w:rPr>
          <w:rFonts w:hint="eastAsia" w:ascii="Times New Roman" w:hAnsi="Times New Roman"/>
          <w:sz w:val="24"/>
        </w:rPr>
        <w:t>，基于深度学习的算法</w:t>
      </w:r>
      <w:bookmarkStart w:id="19" w:name="OLE_LINK18"/>
      <w:r>
        <w:rPr>
          <w:rFonts w:ascii="Times New Roman" w:hAnsi="Times New Roman"/>
          <w:sz w:val="24"/>
        </w:rPr>
        <w:t>Tangram</w:t>
      </w:r>
      <w:bookmarkEnd w:id="19"/>
      <w:r>
        <w:rPr>
          <w:rFonts w:ascii="Times New Roman" w:hAnsi="Times New Roman"/>
          <w:sz w:val="24"/>
          <w:vertAlign w:val="superscript"/>
        </w:rPr>
        <w:fldChar w:fldCharType="begin"/>
      </w:r>
      <w:r>
        <w:rPr>
          <w:rFonts w:ascii="Times New Roman" w:hAnsi="Times New Roman"/>
          <w:sz w:val="24"/>
          <w:vertAlign w:val="superscript"/>
        </w:rPr>
        <w:instrText xml:space="preserve"> REF _Ref202173144 \r \h  \* MERGEFORMAT </w:instrText>
      </w:r>
      <w:r>
        <w:rPr>
          <w:rFonts w:ascii="Times New Roman" w:hAnsi="Times New Roman"/>
          <w:sz w:val="24"/>
          <w:vertAlign w:val="superscript"/>
        </w:rPr>
        <w:fldChar w:fldCharType="separate"/>
      </w:r>
      <w:r>
        <w:rPr>
          <w:rFonts w:ascii="Times New Roman" w:hAnsi="Times New Roman"/>
          <w:sz w:val="24"/>
          <w:vertAlign w:val="superscript"/>
        </w:rPr>
        <w:t>[49]</w:t>
      </w:r>
      <w:r>
        <w:rPr>
          <w:rFonts w:ascii="Times New Roman" w:hAnsi="Times New Roman"/>
          <w:sz w:val="24"/>
          <w:vertAlign w:val="superscript"/>
        </w:rPr>
        <w:fldChar w:fldCharType="end"/>
      </w:r>
      <w:r>
        <w:rPr>
          <w:rFonts w:hint="eastAsia" w:ascii="Times New Roman" w:hAnsi="Times New Roman"/>
          <w:sz w:val="24"/>
        </w:rPr>
        <w:t>、</w:t>
      </w:r>
      <w:r>
        <w:rPr>
          <w:rFonts w:ascii="Times New Roman" w:hAnsi="Times New Roman"/>
          <w:sz w:val="24"/>
        </w:rPr>
        <w:t>DestVI</w:t>
      </w:r>
      <w:r>
        <w:rPr>
          <w:rFonts w:ascii="Times New Roman" w:hAnsi="Times New Roman"/>
          <w:sz w:val="24"/>
          <w:vertAlign w:val="superscript"/>
        </w:rPr>
        <w:fldChar w:fldCharType="begin"/>
      </w:r>
      <w:r>
        <w:rPr>
          <w:rFonts w:ascii="Times New Roman" w:hAnsi="Times New Roman"/>
          <w:sz w:val="24"/>
          <w:vertAlign w:val="superscript"/>
        </w:rPr>
        <w:instrText xml:space="preserve"> REF _Ref201802838 \r \h  \* MERGEFORMAT </w:instrText>
      </w:r>
      <w:r>
        <w:rPr>
          <w:rFonts w:ascii="Times New Roman" w:hAnsi="Times New Roman"/>
          <w:sz w:val="24"/>
          <w:vertAlign w:val="superscript"/>
        </w:rPr>
        <w:fldChar w:fldCharType="separate"/>
      </w:r>
      <w:r>
        <w:rPr>
          <w:rFonts w:ascii="Times New Roman" w:hAnsi="Times New Roman"/>
          <w:sz w:val="24"/>
          <w:vertAlign w:val="superscript"/>
        </w:rPr>
        <w:t>[50]</w:t>
      </w:r>
      <w:r>
        <w:rPr>
          <w:rFonts w:ascii="Times New Roman" w:hAnsi="Times New Roman"/>
          <w:sz w:val="24"/>
          <w:vertAlign w:val="superscript"/>
        </w:rPr>
        <w:fldChar w:fldCharType="end"/>
      </w:r>
      <w:r>
        <w:rPr>
          <w:rFonts w:hint="eastAsia" w:ascii="Times New Roman" w:hAnsi="Times New Roman"/>
          <w:sz w:val="24"/>
        </w:rPr>
        <w:t>和SpatialcoGCN</w:t>
      </w:r>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_Ref201803224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[51]</w:t>
      </w:r>
      <w:r>
        <w:rPr>
          <w:rFonts w:ascii="Times New Roman" w:hAnsi="Times New Roman"/>
          <w:sz w:val="24"/>
          <w:vertAlign w:val="superscript"/>
        </w:rPr>
        <w:fldChar w:fldCharType="end"/>
      </w:r>
      <w:r>
        <w:rPr>
          <w:rFonts w:hint="eastAsia" w:ascii="Times New Roman" w:hAnsi="Times New Roman"/>
          <w:sz w:val="24"/>
        </w:rPr>
        <w:t>，详细介绍如下：</w:t>
      </w:r>
    </w:p>
    <w:p w14:paraId="18AE6789">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Cell2location</w:t>
      </w:r>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_Ref201803049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[18]</w:t>
      </w:r>
      <w:r>
        <w:rPr>
          <w:rFonts w:ascii="Times New Roman" w:hAnsi="Times New Roman"/>
          <w:sz w:val="24"/>
          <w:vertAlign w:val="superscript"/>
        </w:rPr>
        <w:fldChar w:fldCharType="end"/>
      </w:r>
      <w:r>
        <w:rPr>
          <w:rFonts w:hint="eastAsia" w:ascii="Times New Roman" w:hAnsi="Times New Roman"/>
          <w:sz w:val="24"/>
        </w:rPr>
        <w:t>：Cell2location 是一种贝叶斯模型，可以解析 ST 数据中的细粒度细胞类型，并创建不同组织的综合细胞图谱。它考虑了变异的技术来源，并借用了不同位置的统计强度，从而能够以比现有工具更高的灵敏度和分辨率集成单细胞和 ST数据。</w:t>
      </w:r>
    </w:p>
    <w:p w14:paraId="75C6BE4B">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RCTD</w:t>
      </w:r>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_Ref201802971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[19]</w:t>
      </w:r>
      <w:r>
        <w:rPr>
          <w:rFonts w:ascii="Times New Roman" w:hAnsi="Times New Roman"/>
          <w:sz w:val="24"/>
          <w:vertAlign w:val="superscript"/>
        </w:rPr>
        <w:fldChar w:fldCharType="end"/>
      </w:r>
      <w:r>
        <w:rPr>
          <w:rFonts w:hint="eastAsia" w:ascii="Times New Roman" w:hAnsi="Times New Roman"/>
          <w:sz w:val="24"/>
        </w:rPr>
        <w:t>：RCTD 假设在一个点上观察到的基因表达是参考细胞类型表达谱加上技术噪声的线性组合。使用 scRNA-seq 参考数据，通过拟合具有差异表达基因和平台效应的噪声线性模型来估计每个点的细胞类型比例。</w:t>
      </w:r>
    </w:p>
    <w:p w14:paraId="647F470B">
      <w:pPr>
        <w:autoSpaceDE w:val="0"/>
        <w:autoSpaceDN w:val="0"/>
        <w:adjustRightInd w:val="0"/>
        <w:spacing w:before="120" w:line="360" w:lineRule="auto"/>
        <w:ind w:firstLine="480" w:firstLineChars="200"/>
        <w:rPr>
          <w:rFonts w:ascii="Times New Roman" w:hAnsi="Times New Roman"/>
          <w:sz w:val="24"/>
        </w:rPr>
      </w:pPr>
      <w:bookmarkStart w:id="20" w:name="OLE_LINK21"/>
      <w:r>
        <w:rPr>
          <w:rFonts w:hint="eastAsia" w:ascii="Times New Roman" w:hAnsi="Times New Roman"/>
          <w:sz w:val="24"/>
        </w:rPr>
        <w:t>Stereoscope</w:t>
      </w:r>
      <w:bookmarkEnd w:id="20"/>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_Ref201863134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[20]</w:t>
      </w:r>
      <w:r>
        <w:rPr>
          <w:rFonts w:ascii="Times New Roman" w:hAnsi="Times New Roman"/>
          <w:sz w:val="24"/>
          <w:vertAlign w:val="superscript"/>
        </w:rPr>
        <w:fldChar w:fldCharType="end"/>
      </w:r>
      <w:r>
        <w:rPr>
          <w:rFonts w:hint="eastAsia" w:ascii="Times New Roman" w:hAnsi="Times New Roman"/>
          <w:sz w:val="24"/>
        </w:rPr>
        <w:t>：</w:t>
      </w:r>
      <w:r>
        <w:rPr>
          <w:rFonts w:ascii="Times New Roman" w:hAnsi="Times New Roman"/>
          <w:sz w:val="24"/>
        </w:rPr>
        <w:t>Stereoscope 利用基于模型的概率方法对空间数据中的单元混合物进行反卷积，其主要假设是空间数据和单单元数据都遵循负二项分布</w:t>
      </w:r>
      <w:r>
        <w:rPr>
          <w:rFonts w:hint="eastAsia" w:ascii="Times New Roman" w:hAnsi="Times New Roman"/>
          <w:sz w:val="24"/>
        </w:rPr>
        <w:t>。</w:t>
      </w:r>
    </w:p>
    <w:p w14:paraId="01D55E52">
      <w:pPr>
        <w:autoSpaceDE w:val="0"/>
        <w:autoSpaceDN w:val="0"/>
        <w:adjustRightInd w:val="0"/>
        <w:spacing w:before="120" w:line="360" w:lineRule="auto"/>
        <w:ind w:firstLine="480" w:firstLineChars="200"/>
        <w:rPr>
          <w:rFonts w:ascii="Times New Roman" w:hAnsi="Times New Roman"/>
          <w:sz w:val="24"/>
        </w:rPr>
      </w:pPr>
      <w:r>
        <w:rPr>
          <w:rFonts w:ascii="Times New Roman" w:hAnsi="Times New Roman"/>
          <w:sz w:val="24"/>
        </w:rPr>
        <w:t>Seurat</w:t>
      </w:r>
      <w:r>
        <w:rPr>
          <w:rFonts w:ascii="Times New Roman" w:hAnsi="Times New Roman"/>
          <w:sz w:val="24"/>
          <w:vertAlign w:val="superscript"/>
        </w:rPr>
        <w:fldChar w:fldCharType="begin"/>
      </w:r>
      <w:r>
        <w:rPr>
          <w:rFonts w:ascii="Times New Roman" w:hAnsi="Times New Roman"/>
          <w:sz w:val="24"/>
          <w:vertAlign w:val="superscript"/>
        </w:rPr>
        <w:instrText xml:space="preserve"> REF _Ref202807758 \r \h  \* MERGEFORMAT </w:instrText>
      </w:r>
      <w:r>
        <w:rPr>
          <w:rFonts w:ascii="Times New Roman" w:hAnsi="Times New Roman"/>
          <w:sz w:val="24"/>
          <w:vertAlign w:val="superscript"/>
        </w:rPr>
        <w:fldChar w:fldCharType="separate"/>
      </w:r>
      <w:r>
        <w:rPr>
          <w:rFonts w:ascii="Times New Roman" w:hAnsi="Times New Roman"/>
          <w:sz w:val="24"/>
          <w:vertAlign w:val="superscript"/>
        </w:rPr>
        <w:t>[47]</w:t>
      </w:r>
      <w:r>
        <w:rPr>
          <w:rFonts w:ascii="Times New Roman" w:hAnsi="Times New Roman"/>
          <w:sz w:val="24"/>
          <w:vertAlign w:val="superscript"/>
        </w:rPr>
        <w:fldChar w:fldCharType="end"/>
      </w:r>
      <w:r>
        <w:rPr>
          <w:rFonts w:hint="eastAsia" w:ascii="Times New Roman" w:hAnsi="Times New Roman"/>
          <w:sz w:val="24"/>
        </w:rPr>
        <w:t>：</w:t>
      </w:r>
      <w:r>
        <w:rPr>
          <w:rFonts w:ascii="Times New Roman" w:hAnsi="Times New Roman"/>
          <w:sz w:val="24"/>
        </w:rPr>
        <w:t>Seurat 使用经典相关分析 （CCA） 将空间和 scRNA-seq 数据嵌入到一个共同的潜在空间中，并将 scRNA-seq 数据中的细胞投射到 ST 数据的点上</w:t>
      </w:r>
      <w:r>
        <w:rPr>
          <w:rFonts w:hint="eastAsia" w:ascii="Times New Roman" w:hAnsi="Times New Roman"/>
          <w:sz w:val="24"/>
        </w:rPr>
        <w:t>。</w:t>
      </w:r>
    </w:p>
    <w:p w14:paraId="719023C9">
      <w:pPr>
        <w:autoSpaceDE w:val="0"/>
        <w:autoSpaceDN w:val="0"/>
        <w:adjustRightInd w:val="0"/>
        <w:spacing w:before="120" w:line="360" w:lineRule="auto"/>
        <w:ind w:firstLine="480" w:firstLineChars="200"/>
        <w:rPr>
          <w:rFonts w:ascii="Times New Roman" w:hAnsi="Times New Roman"/>
          <w:sz w:val="24"/>
        </w:rPr>
      </w:pPr>
      <w:r>
        <w:rPr>
          <w:rFonts w:ascii="Times New Roman" w:hAnsi="Times New Roman"/>
          <w:sz w:val="24"/>
        </w:rPr>
        <w:t>SpatialDWLS</w:t>
      </w:r>
      <w:r>
        <w:rPr>
          <w:rFonts w:ascii="Times New Roman" w:hAnsi="Times New Roman"/>
          <w:sz w:val="24"/>
          <w:vertAlign w:val="superscript"/>
        </w:rPr>
        <w:fldChar w:fldCharType="begin"/>
      </w:r>
      <w:r>
        <w:rPr>
          <w:rFonts w:ascii="Times New Roman" w:hAnsi="Times New Roman"/>
          <w:sz w:val="24"/>
          <w:vertAlign w:val="superscript"/>
        </w:rPr>
        <w:instrText xml:space="preserve"> REF _Ref201802930 \r \h  \* MERGEFORMAT </w:instrText>
      </w:r>
      <w:r>
        <w:rPr>
          <w:rFonts w:ascii="Times New Roman" w:hAnsi="Times New Roman"/>
          <w:sz w:val="24"/>
          <w:vertAlign w:val="superscript"/>
        </w:rPr>
        <w:fldChar w:fldCharType="separate"/>
      </w:r>
      <w:r>
        <w:rPr>
          <w:rFonts w:ascii="Times New Roman" w:hAnsi="Times New Roman"/>
          <w:sz w:val="24"/>
          <w:vertAlign w:val="superscript"/>
        </w:rPr>
        <w:t>[24]</w:t>
      </w:r>
      <w:r>
        <w:rPr>
          <w:rFonts w:ascii="Times New Roman" w:hAnsi="Times New Roman"/>
          <w:sz w:val="24"/>
          <w:vertAlign w:val="superscript"/>
        </w:rPr>
        <w:fldChar w:fldCharType="end"/>
      </w:r>
      <w:r>
        <w:rPr>
          <w:rFonts w:hint="eastAsia" w:ascii="Times New Roman" w:hAnsi="Times New Roman"/>
          <w:sz w:val="24"/>
        </w:rPr>
        <w:t>：</w:t>
      </w:r>
      <w:r>
        <w:rPr>
          <w:rFonts w:ascii="Times New Roman" w:hAnsi="Times New Roman"/>
          <w:sz w:val="24"/>
        </w:rPr>
        <w:t>SpatialDWLS 采用富集分析来识别每个位置的细胞类型，然后使用回归模型来估计所选细胞类型的比例</w:t>
      </w:r>
      <w:r>
        <w:rPr>
          <w:rFonts w:hint="eastAsia" w:ascii="Times New Roman" w:hAnsi="Times New Roman"/>
          <w:sz w:val="24"/>
        </w:rPr>
        <w:t>。</w:t>
      </w:r>
    </w:p>
    <w:p w14:paraId="41B9D879">
      <w:pPr>
        <w:autoSpaceDE w:val="0"/>
        <w:autoSpaceDN w:val="0"/>
        <w:adjustRightInd w:val="0"/>
        <w:spacing w:before="120" w:line="360" w:lineRule="auto"/>
        <w:ind w:firstLine="480" w:firstLineChars="200"/>
        <w:rPr>
          <w:rFonts w:ascii="Times New Roman" w:hAnsi="Times New Roman"/>
          <w:sz w:val="24"/>
        </w:rPr>
      </w:pPr>
      <w:r>
        <w:rPr>
          <w:rFonts w:ascii="Times New Roman" w:hAnsi="Times New Roman"/>
          <w:sz w:val="24"/>
        </w:rPr>
        <w:t>SPOTlight</w:t>
      </w:r>
      <w:r>
        <w:rPr>
          <w:rFonts w:ascii="Times New Roman" w:hAnsi="Times New Roman"/>
          <w:sz w:val="24"/>
          <w:vertAlign w:val="superscript"/>
        </w:rPr>
        <w:fldChar w:fldCharType="begin"/>
      </w:r>
      <w:r>
        <w:rPr>
          <w:rFonts w:ascii="Times New Roman" w:hAnsi="Times New Roman"/>
          <w:sz w:val="24"/>
          <w:vertAlign w:val="superscript"/>
        </w:rPr>
        <w:instrText xml:space="preserve"> REF _Ref201802856 \r \h  \* MERGEFORMAT </w:instrText>
      </w:r>
      <w:r>
        <w:rPr>
          <w:rFonts w:ascii="Times New Roman" w:hAnsi="Times New Roman"/>
          <w:sz w:val="24"/>
          <w:vertAlign w:val="superscript"/>
        </w:rPr>
        <w:fldChar w:fldCharType="separate"/>
      </w:r>
      <w:r>
        <w:rPr>
          <w:rFonts w:ascii="Times New Roman" w:hAnsi="Times New Roman"/>
          <w:sz w:val="24"/>
          <w:vertAlign w:val="superscript"/>
        </w:rPr>
        <w:t>[25]</w:t>
      </w:r>
      <w:r>
        <w:rPr>
          <w:rFonts w:ascii="Times New Roman" w:hAnsi="Times New Roman"/>
          <w:sz w:val="24"/>
          <w:vertAlign w:val="superscript"/>
        </w:rPr>
        <w:fldChar w:fldCharType="end"/>
      </w:r>
      <w:r>
        <w:rPr>
          <w:rFonts w:hint="eastAsia" w:ascii="Times New Roman" w:hAnsi="Times New Roman"/>
          <w:sz w:val="24"/>
        </w:rPr>
        <w:t>：</w:t>
      </w:r>
      <w:r>
        <w:rPr>
          <w:rFonts w:ascii="Times New Roman" w:hAnsi="Times New Roman"/>
          <w:sz w:val="24"/>
        </w:rPr>
        <w:t>SPOTlight 是一种反卷积算法，它采用非负矩阵分解 （NMF） 回归算法和非负最小二乘法 （NNLS），其中 NMF 用于识别 scRNA-seq 参考文献中细胞类型特异性的主题谱，NNLS 用于识别 ST 数据中的斑点表达谱与主题谱之间的联系</w:t>
      </w:r>
      <w:r>
        <w:rPr>
          <w:rFonts w:hint="eastAsia" w:ascii="Times New Roman" w:hAnsi="Times New Roman"/>
          <w:sz w:val="24"/>
        </w:rPr>
        <w:t>。</w:t>
      </w:r>
    </w:p>
    <w:p w14:paraId="11B26D81">
      <w:pPr>
        <w:autoSpaceDE w:val="0"/>
        <w:autoSpaceDN w:val="0"/>
        <w:adjustRightInd w:val="0"/>
        <w:spacing w:before="120" w:line="360" w:lineRule="auto"/>
        <w:ind w:firstLine="480" w:firstLineChars="200"/>
        <w:rPr>
          <w:rFonts w:ascii="Times New Roman" w:hAnsi="Times New Roman"/>
          <w:sz w:val="24"/>
        </w:rPr>
      </w:pPr>
      <w:bookmarkStart w:id="21" w:name="OLE_LINK23"/>
      <w:r>
        <w:rPr>
          <w:rFonts w:hint="eastAsia" w:ascii="Times New Roman" w:hAnsi="Times New Roman"/>
          <w:sz w:val="24"/>
        </w:rPr>
        <w:t>CARD</w:t>
      </w:r>
      <w:bookmarkEnd w:id="21"/>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_Ref202172940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[48]</w:t>
      </w:r>
      <w:r>
        <w:rPr>
          <w:rFonts w:ascii="Times New Roman" w:hAnsi="Times New Roman"/>
          <w:sz w:val="24"/>
          <w:vertAlign w:val="superscript"/>
        </w:rPr>
        <w:fldChar w:fldCharType="end"/>
      </w:r>
      <w:r>
        <w:rPr>
          <w:rFonts w:hint="eastAsia" w:ascii="Times New Roman" w:hAnsi="Times New Roman"/>
          <w:sz w:val="24"/>
        </w:rPr>
        <w:t>：</w:t>
      </w:r>
      <w:r>
        <w:rPr>
          <w:rFonts w:ascii="Times New Roman" w:hAnsi="Times New Roman"/>
          <w:sz w:val="24"/>
        </w:rPr>
        <w:t>CARD 建立在 NMF 模型之上，设计了一个临时的条件自回归项，以在去卷积 ST 数据时考虑细胞类型组成的空间相关性</w:t>
      </w:r>
      <w:r>
        <w:rPr>
          <w:rFonts w:hint="eastAsia" w:ascii="Times New Roman" w:hAnsi="Times New Roman"/>
          <w:sz w:val="24"/>
        </w:rPr>
        <w:t>。</w:t>
      </w:r>
    </w:p>
    <w:p w14:paraId="051FB5A6">
      <w:pPr>
        <w:autoSpaceDE w:val="0"/>
        <w:autoSpaceDN w:val="0"/>
        <w:adjustRightInd w:val="0"/>
        <w:spacing w:before="120" w:line="360" w:lineRule="auto"/>
        <w:ind w:firstLine="480" w:firstLineChars="200"/>
        <w:rPr>
          <w:rFonts w:ascii="Times New Roman" w:hAnsi="Times New Roman"/>
          <w:sz w:val="24"/>
        </w:rPr>
      </w:pPr>
      <w:r>
        <w:rPr>
          <w:rFonts w:ascii="Times New Roman" w:hAnsi="Times New Roman"/>
          <w:sz w:val="24"/>
        </w:rPr>
        <w:t>Tangram</w:t>
      </w:r>
      <w:r>
        <w:rPr>
          <w:rFonts w:ascii="Times New Roman" w:hAnsi="Times New Roman"/>
          <w:sz w:val="24"/>
          <w:vertAlign w:val="superscript"/>
        </w:rPr>
        <w:fldChar w:fldCharType="begin"/>
      </w:r>
      <w:r>
        <w:rPr>
          <w:rFonts w:ascii="Times New Roman" w:hAnsi="Times New Roman"/>
          <w:sz w:val="24"/>
          <w:vertAlign w:val="superscript"/>
        </w:rPr>
        <w:instrText xml:space="preserve"> REF _Ref202173144 \r \h  \* MERGEFORMAT </w:instrText>
      </w:r>
      <w:r>
        <w:rPr>
          <w:rFonts w:ascii="Times New Roman" w:hAnsi="Times New Roman"/>
          <w:sz w:val="24"/>
          <w:vertAlign w:val="superscript"/>
        </w:rPr>
        <w:fldChar w:fldCharType="separate"/>
      </w:r>
      <w:r>
        <w:rPr>
          <w:rFonts w:ascii="Times New Roman" w:hAnsi="Times New Roman"/>
          <w:sz w:val="24"/>
          <w:vertAlign w:val="superscript"/>
        </w:rPr>
        <w:t>[49]</w:t>
      </w:r>
      <w:r>
        <w:rPr>
          <w:rFonts w:ascii="Times New Roman" w:hAnsi="Times New Roman"/>
          <w:sz w:val="24"/>
          <w:vertAlign w:val="superscript"/>
        </w:rPr>
        <w:fldChar w:fldCharType="end"/>
      </w:r>
      <w:r>
        <w:rPr>
          <w:rFonts w:hint="eastAsia" w:ascii="Times New Roman" w:hAnsi="Times New Roman"/>
          <w:sz w:val="24"/>
        </w:rPr>
        <w:t>：</w:t>
      </w:r>
      <w:r>
        <w:rPr>
          <w:rFonts w:ascii="Times New Roman" w:hAnsi="Times New Roman"/>
          <w:sz w:val="24"/>
        </w:rPr>
        <w:t>Tangram 采用基于深度神经网络的非凸优化来获取 scRNA-seq 数据的空间比对</w:t>
      </w:r>
      <w:r>
        <w:rPr>
          <w:rFonts w:hint="eastAsia" w:ascii="Times New Roman" w:hAnsi="Times New Roman"/>
          <w:sz w:val="24"/>
        </w:rPr>
        <w:t>，</w:t>
      </w:r>
      <w:r>
        <w:rPr>
          <w:rFonts w:ascii="Times New Roman" w:hAnsi="Times New Roman"/>
          <w:sz w:val="24"/>
        </w:rPr>
        <w:t>通过将空间映射问题建模为优化任务，利用概率分布建模和空间表达对齐，结合多模态输入与正则化技术，实现了从单细胞数据到空间结构的高精度映</w:t>
      </w:r>
      <w:r>
        <w:rPr>
          <w:rFonts w:hint="eastAsia" w:ascii="Times New Roman" w:hAnsi="Times New Roman"/>
          <w:sz w:val="24"/>
        </w:rPr>
        <w:t>。</w:t>
      </w:r>
    </w:p>
    <w:p w14:paraId="2C88553B">
      <w:pPr>
        <w:autoSpaceDE w:val="0"/>
        <w:autoSpaceDN w:val="0"/>
        <w:adjustRightInd w:val="0"/>
        <w:spacing w:before="120" w:line="360" w:lineRule="auto"/>
        <w:ind w:firstLine="480" w:firstLineChars="200"/>
        <w:rPr>
          <w:rFonts w:ascii="Times New Roman" w:hAnsi="Times New Roman"/>
          <w:sz w:val="24"/>
        </w:rPr>
      </w:pPr>
      <w:bookmarkStart w:id="22" w:name="OLE_LINK4"/>
      <w:r>
        <w:rPr>
          <w:rFonts w:ascii="Times New Roman" w:hAnsi="Times New Roman"/>
          <w:sz w:val="24"/>
        </w:rPr>
        <w:t>DestVI</w:t>
      </w:r>
      <w:bookmarkEnd w:id="22"/>
      <w:r>
        <w:rPr>
          <w:rFonts w:ascii="Times New Roman" w:hAnsi="Times New Roman"/>
          <w:sz w:val="24"/>
          <w:vertAlign w:val="superscript"/>
        </w:rPr>
        <w:fldChar w:fldCharType="begin"/>
      </w:r>
      <w:r>
        <w:rPr>
          <w:rFonts w:ascii="Times New Roman" w:hAnsi="Times New Roman"/>
          <w:sz w:val="24"/>
          <w:vertAlign w:val="superscript"/>
        </w:rPr>
        <w:instrText xml:space="preserve"> REF _Ref201802838 \r \h  \* MERGEFORMAT </w:instrText>
      </w:r>
      <w:r>
        <w:rPr>
          <w:rFonts w:ascii="Times New Roman" w:hAnsi="Times New Roman"/>
          <w:sz w:val="24"/>
          <w:vertAlign w:val="superscript"/>
        </w:rPr>
        <w:fldChar w:fldCharType="separate"/>
      </w:r>
      <w:r>
        <w:rPr>
          <w:rFonts w:ascii="Times New Roman" w:hAnsi="Times New Roman"/>
          <w:sz w:val="24"/>
          <w:vertAlign w:val="superscript"/>
        </w:rPr>
        <w:t>[50]</w:t>
      </w:r>
      <w:r>
        <w:rPr>
          <w:rFonts w:ascii="Times New Roman" w:hAnsi="Times New Roman"/>
          <w:sz w:val="24"/>
          <w:vertAlign w:val="superscript"/>
        </w:rPr>
        <w:fldChar w:fldCharType="end"/>
      </w:r>
      <w:r>
        <w:rPr>
          <w:rFonts w:hint="eastAsia" w:ascii="Times New Roman" w:hAnsi="Times New Roman"/>
          <w:sz w:val="24"/>
        </w:rPr>
        <w:t>：</w:t>
      </w:r>
      <w:r>
        <w:rPr>
          <w:rFonts w:ascii="Times New Roman" w:hAnsi="Times New Roman"/>
          <w:sz w:val="24"/>
        </w:rPr>
        <w:t xml:space="preserve"> DestVI 是一种变分推断驱动的空间去卷积方法，能够在每个 spot 内识别细胞类型比例及其连续状态变化，实现高分辨率的空间表达推断与亚型分析，引入了变分推理和潜在变量模型来解释细胞类型比例</w:t>
      </w:r>
      <w:r>
        <w:rPr>
          <w:rFonts w:hint="eastAsia" w:ascii="Times New Roman" w:hAnsi="Times New Roman"/>
          <w:sz w:val="24"/>
        </w:rPr>
        <w:t>。</w:t>
      </w:r>
    </w:p>
    <w:p w14:paraId="053A8D8E">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SpatialcoGCN</w:t>
      </w:r>
      <w:r>
        <w:rPr>
          <w:rFonts w:ascii="Times New Roman" w:hAnsi="Times New Roman"/>
          <w:sz w:val="24"/>
          <w:vertAlign w:val="superscript"/>
        </w:rPr>
        <w:fldChar w:fldCharType="begin"/>
      </w:r>
      <w:r>
        <w:rPr>
          <w:rFonts w:ascii="Times New Roman" w:hAnsi="Times New Roman"/>
          <w:sz w:val="24"/>
          <w:vertAlign w:val="superscript"/>
        </w:rPr>
        <w:instrText xml:space="preserve"> </w:instrText>
      </w:r>
      <w:r>
        <w:rPr>
          <w:rFonts w:hint="eastAsia" w:ascii="Times New Roman" w:hAnsi="Times New Roman"/>
          <w:sz w:val="24"/>
          <w:vertAlign w:val="superscript"/>
        </w:rPr>
        <w:instrText xml:space="preserve">REF _Ref201803224 \r \h</w:instrText>
      </w:r>
      <w:r>
        <w:rPr>
          <w:rFonts w:ascii="Times New Roman" w:hAnsi="Times New Roman"/>
          <w:sz w:val="24"/>
          <w:vertAlign w:val="superscript"/>
        </w:rPr>
        <w:instrText xml:space="preserve">  \* MERGEFORMAT </w:instrText>
      </w:r>
      <w:r>
        <w:rPr>
          <w:rFonts w:ascii="Times New Roman" w:hAnsi="Times New Roman"/>
          <w:sz w:val="24"/>
          <w:vertAlign w:val="superscript"/>
        </w:rPr>
        <w:fldChar w:fldCharType="separate"/>
      </w:r>
      <w:r>
        <w:rPr>
          <w:rFonts w:ascii="Times New Roman" w:hAnsi="Times New Roman"/>
          <w:sz w:val="24"/>
          <w:vertAlign w:val="superscript"/>
        </w:rPr>
        <w:t>[51]</w:t>
      </w:r>
      <w:r>
        <w:rPr>
          <w:rFonts w:ascii="Times New Roman" w:hAnsi="Times New Roman"/>
          <w:sz w:val="24"/>
          <w:vertAlign w:val="superscript"/>
        </w:rPr>
        <w:fldChar w:fldCharType="end"/>
      </w:r>
      <w:r>
        <w:rPr>
          <w:rFonts w:hint="eastAsia" w:ascii="Times New Roman" w:hAnsi="Times New Roman"/>
          <w:sz w:val="24"/>
        </w:rPr>
        <w:t>:</w:t>
      </w:r>
      <w:r>
        <w:rPr>
          <w:rFonts w:ascii="Times New Roman" w:hAnsi="Times New Roman"/>
          <w:sz w:val="24"/>
        </w:rPr>
        <w:t xml:space="preserve"> SpatialcoGCN 是一种结合共图卷积与自监督学习的空间转录组反卷积方法，能准确推断细胞组成与表达模式</w:t>
      </w:r>
      <w:r>
        <w:rPr>
          <w:rFonts w:hint="eastAsia" w:ascii="Times New Roman" w:hAnsi="Times New Roman"/>
          <w:sz w:val="24"/>
        </w:rPr>
        <w:t>，</w:t>
      </w:r>
      <w:r>
        <w:rPr>
          <w:rFonts w:ascii="Times New Roman" w:hAnsi="Times New Roman"/>
          <w:sz w:val="24"/>
        </w:rPr>
        <w:t>恢复原始数据中缺失的基因表达</w:t>
      </w:r>
      <w:r>
        <w:rPr>
          <w:rFonts w:hint="eastAsia" w:ascii="Times New Roman" w:hAnsi="Times New Roman"/>
          <w:sz w:val="24"/>
        </w:rPr>
        <w:t xml:space="preserve">。 </w:t>
      </w:r>
    </w:p>
    <w:p w14:paraId="32554140">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对比实验结果如表3.3和3.4所示，加粗数据为实验最优数据，下划线数据为次优数据经过实验分析，可以发现：</w:t>
      </w:r>
      <w:bookmarkStart w:id="23" w:name="OLE_LINK62"/>
    </w:p>
    <w:bookmarkEnd w:id="23"/>
    <w:p w14:paraId="36CD27D1">
      <w:pPr>
        <w:adjustRightInd w:val="0"/>
        <w:snapToGrid w:val="0"/>
        <w:spacing w:before="120" w:line="360" w:lineRule="auto"/>
        <w:jc w:val="center"/>
        <w:rPr>
          <w:rFonts w:ascii="Times New Roman" w:hAnsi="Times New Roman"/>
          <w:sz w:val="24"/>
        </w:rPr>
      </w:pPr>
      <w:r>
        <w:rPr>
          <w:rFonts w:ascii="Times New Roman" w:hAnsi="Times New Roman"/>
          <w:kern w:val="0"/>
          <w:sz w:val="24"/>
        </w:rPr>
        <w:t>表3.</w:t>
      </w:r>
      <w:r>
        <w:rPr>
          <w:rFonts w:hint="eastAsia" w:ascii="Times New Roman" w:hAnsi="Times New Roman"/>
          <w:kern w:val="0"/>
          <w:sz w:val="24"/>
        </w:rPr>
        <w:t>3</w:t>
      </w:r>
      <w:r>
        <w:rPr>
          <w:rFonts w:ascii="Times New Roman" w:hAnsi="Times New Roman"/>
          <w:kern w:val="0"/>
          <w:sz w:val="24"/>
        </w:rPr>
        <w:t xml:space="preserve"> ExSeq</w:t>
      </w:r>
      <w:r>
        <w:rPr>
          <w:rFonts w:hint="eastAsia" w:ascii="Times New Roman" w:hAnsi="Times New Roman"/>
          <w:kern w:val="0"/>
          <w:sz w:val="24"/>
        </w:rPr>
        <w:t>的对比实验结果</w:t>
      </w:r>
    </w:p>
    <w:tbl>
      <w:tblPr>
        <w:tblStyle w:val="1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8"/>
        <w:gridCol w:w="1332"/>
        <w:gridCol w:w="1331"/>
        <w:gridCol w:w="1331"/>
        <w:gridCol w:w="1327"/>
        <w:gridCol w:w="1329"/>
      </w:tblGrid>
      <w:tr w14:paraId="6176B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101" w:type="pct"/>
            <w:tcBorders>
              <w:top w:val="single" w:color="auto" w:sz="12" w:space="0"/>
              <w:bottom w:val="single" w:color="auto" w:sz="8" w:space="0"/>
            </w:tcBorders>
            <w:vAlign w:val="center"/>
          </w:tcPr>
          <w:p w14:paraId="777D5CFB">
            <w:pPr>
              <w:adjustRightInd w:val="0"/>
              <w:snapToGrid w:val="0"/>
              <w:spacing w:line="360" w:lineRule="auto"/>
              <w:ind w:right="1830"/>
              <w:jc w:val="right"/>
              <w:rPr>
                <w:rFonts w:ascii="Times New Roman" w:hAnsi="Times New Roman"/>
                <w:kern w:val="0"/>
                <w:sz w:val="24"/>
              </w:rPr>
            </w:pPr>
          </w:p>
        </w:tc>
        <w:tc>
          <w:tcPr>
            <w:tcW w:w="781" w:type="pct"/>
            <w:tcBorders>
              <w:top w:val="single" w:color="auto" w:sz="12" w:space="0"/>
              <w:bottom w:val="single" w:color="auto" w:sz="8" w:space="0"/>
            </w:tcBorders>
            <w:vAlign w:val="center"/>
          </w:tcPr>
          <w:p w14:paraId="1F650425">
            <w:pPr>
              <w:adjustRightInd w:val="0"/>
              <w:snapToGrid w:val="0"/>
              <w:jc w:val="center"/>
              <w:rPr>
                <w:rFonts w:ascii="Times New Roman" w:hAnsi="Times New Roman"/>
                <w:kern w:val="0"/>
                <w:sz w:val="24"/>
              </w:rPr>
            </w:pPr>
            <w:r>
              <w:rPr>
                <w:rFonts w:hint="eastAsia" w:ascii="Times New Roman" w:hAnsi="Times New Roman"/>
                <w:kern w:val="0"/>
                <w:sz w:val="24"/>
              </w:rPr>
              <w:t>PCC</w:t>
            </w:r>
          </w:p>
        </w:tc>
        <w:tc>
          <w:tcPr>
            <w:tcW w:w="780" w:type="pct"/>
            <w:tcBorders>
              <w:top w:val="single" w:color="auto" w:sz="12" w:space="0"/>
              <w:bottom w:val="single" w:color="auto" w:sz="8" w:space="0"/>
            </w:tcBorders>
            <w:vAlign w:val="center"/>
          </w:tcPr>
          <w:p w14:paraId="015CB5C5">
            <w:pPr>
              <w:adjustRightInd w:val="0"/>
              <w:snapToGrid w:val="0"/>
              <w:jc w:val="center"/>
              <w:rPr>
                <w:rFonts w:ascii="Times New Roman" w:hAnsi="Times New Roman"/>
                <w:kern w:val="0"/>
                <w:sz w:val="24"/>
              </w:rPr>
            </w:pPr>
            <w:r>
              <w:rPr>
                <w:rFonts w:ascii="Times New Roman" w:hAnsi="Times New Roman"/>
                <w:kern w:val="0"/>
                <w:sz w:val="24"/>
              </w:rPr>
              <w:t>SSIM</w:t>
            </w:r>
          </w:p>
        </w:tc>
        <w:tc>
          <w:tcPr>
            <w:tcW w:w="780" w:type="pct"/>
            <w:tcBorders>
              <w:top w:val="single" w:color="auto" w:sz="12" w:space="0"/>
              <w:bottom w:val="single" w:color="auto" w:sz="8" w:space="0"/>
            </w:tcBorders>
            <w:vAlign w:val="center"/>
          </w:tcPr>
          <w:p w14:paraId="5CB5EE21">
            <w:pPr>
              <w:adjustRightInd w:val="0"/>
              <w:snapToGrid w:val="0"/>
              <w:jc w:val="center"/>
              <w:rPr>
                <w:rFonts w:ascii="Times New Roman" w:hAnsi="Times New Roman"/>
                <w:kern w:val="0"/>
                <w:sz w:val="24"/>
              </w:rPr>
            </w:pPr>
            <w:r>
              <w:rPr>
                <w:rFonts w:hint="eastAsia" w:ascii="Times New Roman" w:hAnsi="Times New Roman"/>
                <w:kern w:val="0"/>
                <w:sz w:val="24"/>
              </w:rPr>
              <w:t>COSSIM</w:t>
            </w:r>
          </w:p>
        </w:tc>
        <w:tc>
          <w:tcPr>
            <w:tcW w:w="778" w:type="pct"/>
            <w:tcBorders>
              <w:top w:val="single" w:color="auto" w:sz="12" w:space="0"/>
              <w:bottom w:val="single" w:color="auto" w:sz="8" w:space="0"/>
            </w:tcBorders>
            <w:vAlign w:val="center"/>
          </w:tcPr>
          <w:p w14:paraId="4A7D3E3B">
            <w:pPr>
              <w:adjustRightInd w:val="0"/>
              <w:snapToGrid w:val="0"/>
              <w:ind w:firstLine="360" w:firstLineChars="150"/>
              <w:jc w:val="center"/>
              <w:rPr>
                <w:rFonts w:ascii="Times New Roman" w:hAnsi="Times New Roman"/>
                <w:kern w:val="0"/>
                <w:sz w:val="24"/>
              </w:rPr>
            </w:pPr>
            <w:r>
              <w:rPr>
                <w:rFonts w:hint="eastAsia" w:ascii="Times New Roman" w:hAnsi="Times New Roman"/>
                <w:kern w:val="0"/>
                <w:sz w:val="24"/>
              </w:rPr>
              <w:t>RMSE</w:t>
            </w:r>
          </w:p>
        </w:tc>
        <w:tc>
          <w:tcPr>
            <w:tcW w:w="779" w:type="pct"/>
            <w:tcBorders>
              <w:top w:val="single" w:color="auto" w:sz="12" w:space="0"/>
              <w:bottom w:val="single" w:color="auto" w:sz="8" w:space="0"/>
            </w:tcBorders>
            <w:vAlign w:val="center"/>
          </w:tcPr>
          <w:p w14:paraId="41C9455C">
            <w:pPr>
              <w:adjustRightInd w:val="0"/>
              <w:snapToGrid w:val="0"/>
              <w:jc w:val="center"/>
              <w:rPr>
                <w:rFonts w:ascii="Times New Roman" w:hAnsi="Times New Roman"/>
                <w:kern w:val="0"/>
                <w:sz w:val="24"/>
              </w:rPr>
            </w:pPr>
            <w:r>
              <w:rPr>
                <w:rFonts w:hint="eastAsia" w:ascii="Times New Roman" w:hAnsi="Times New Roman"/>
                <w:kern w:val="0"/>
                <w:sz w:val="24"/>
              </w:rPr>
              <w:t>JSD</w:t>
            </w:r>
          </w:p>
        </w:tc>
      </w:tr>
      <w:tr w14:paraId="29C85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tcBorders>
              <w:top w:val="single" w:color="auto" w:sz="8" w:space="0"/>
            </w:tcBorders>
            <w:vAlign w:val="center"/>
          </w:tcPr>
          <w:p w14:paraId="218F6448">
            <w:pPr>
              <w:adjustRightInd w:val="0"/>
              <w:snapToGrid w:val="0"/>
              <w:spacing w:line="360" w:lineRule="auto"/>
              <w:rPr>
                <w:rFonts w:ascii="Times New Roman" w:hAnsi="Times New Roman"/>
                <w:kern w:val="0"/>
                <w:sz w:val="24"/>
              </w:rPr>
            </w:pPr>
            <w:r>
              <w:rPr>
                <w:rFonts w:hint="eastAsia" w:ascii="Times New Roman" w:hAnsi="Times New Roman"/>
                <w:kern w:val="0"/>
                <w:sz w:val="24"/>
              </w:rPr>
              <w:t>Seurat</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_Ref202807758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[47]</w:t>
            </w:r>
            <w:r>
              <w:rPr>
                <w:rFonts w:ascii="Times New Roman" w:hAnsi="Times New Roman"/>
                <w:kern w:val="0"/>
                <w:sz w:val="24"/>
                <w:vertAlign w:val="superscript"/>
              </w:rPr>
              <w:fldChar w:fldCharType="end"/>
            </w:r>
          </w:p>
        </w:tc>
        <w:tc>
          <w:tcPr>
            <w:tcW w:w="781" w:type="pct"/>
            <w:tcBorders>
              <w:top w:val="single" w:color="auto" w:sz="8" w:space="0"/>
            </w:tcBorders>
            <w:vAlign w:val="bottom"/>
          </w:tcPr>
          <w:p w14:paraId="1506E617">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0.2923</w:t>
            </w:r>
          </w:p>
        </w:tc>
        <w:tc>
          <w:tcPr>
            <w:tcW w:w="780" w:type="pct"/>
            <w:tcBorders>
              <w:top w:val="single" w:color="auto" w:sz="8" w:space="0"/>
            </w:tcBorders>
            <w:vAlign w:val="bottom"/>
          </w:tcPr>
          <w:p w14:paraId="44B5C238">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0.2584</w:t>
            </w:r>
          </w:p>
        </w:tc>
        <w:tc>
          <w:tcPr>
            <w:tcW w:w="780" w:type="pct"/>
            <w:tcBorders>
              <w:top w:val="single" w:color="auto" w:sz="8" w:space="0"/>
            </w:tcBorders>
            <w:vAlign w:val="bottom"/>
          </w:tcPr>
          <w:p w14:paraId="0BE8AB39">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0.3834</w:t>
            </w:r>
          </w:p>
        </w:tc>
        <w:tc>
          <w:tcPr>
            <w:tcW w:w="778" w:type="pct"/>
            <w:tcBorders>
              <w:top w:val="single" w:color="auto" w:sz="8" w:space="0"/>
            </w:tcBorders>
            <w:vAlign w:val="bottom"/>
          </w:tcPr>
          <w:p w14:paraId="77FD6B1E">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0.2115</w:t>
            </w:r>
          </w:p>
        </w:tc>
        <w:tc>
          <w:tcPr>
            <w:tcW w:w="779" w:type="pct"/>
            <w:tcBorders>
              <w:top w:val="single" w:color="auto" w:sz="8" w:space="0"/>
            </w:tcBorders>
            <w:vAlign w:val="bottom"/>
          </w:tcPr>
          <w:p w14:paraId="50034DB1">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0.6244</w:t>
            </w:r>
          </w:p>
        </w:tc>
      </w:tr>
      <w:tr w14:paraId="1D204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061C0B3D">
            <w:pPr>
              <w:adjustRightInd w:val="0"/>
              <w:snapToGrid w:val="0"/>
              <w:spacing w:line="360" w:lineRule="auto"/>
              <w:rPr>
                <w:rFonts w:ascii="Times New Roman" w:hAnsi="Times New Roman"/>
                <w:kern w:val="0"/>
                <w:sz w:val="24"/>
              </w:rPr>
            </w:pPr>
            <w:r>
              <w:rPr>
                <w:rFonts w:hint="eastAsia" w:ascii="Times New Roman" w:hAnsi="Times New Roman"/>
                <w:kern w:val="0"/>
                <w:sz w:val="24"/>
              </w:rPr>
              <w:t>Stereoscope</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_Ref201863134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[20]</w:t>
            </w:r>
            <w:r>
              <w:rPr>
                <w:rFonts w:ascii="Times New Roman" w:hAnsi="Times New Roman"/>
                <w:kern w:val="0"/>
                <w:sz w:val="24"/>
                <w:vertAlign w:val="superscript"/>
              </w:rPr>
              <w:fldChar w:fldCharType="end"/>
            </w:r>
          </w:p>
        </w:tc>
        <w:tc>
          <w:tcPr>
            <w:tcW w:w="781" w:type="pct"/>
            <w:vAlign w:val="bottom"/>
          </w:tcPr>
          <w:p w14:paraId="7CE7C5B3">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0.2594</w:t>
            </w:r>
          </w:p>
        </w:tc>
        <w:tc>
          <w:tcPr>
            <w:tcW w:w="780" w:type="pct"/>
            <w:vAlign w:val="bottom"/>
          </w:tcPr>
          <w:p w14:paraId="62985A1D">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0.0137</w:t>
            </w:r>
          </w:p>
        </w:tc>
        <w:tc>
          <w:tcPr>
            <w:tcW w:w="780" w:type="pct"/>
            <w:vAlign w:val="bottom"/>
          </w:tcPr>
          <w:p w14:paraId="09C5EE91">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0.4175</w:t>
            </w:r>
          </w:p>
        </w:tc>
        <w:tc>
          <w:tcPr>
            <w:tcW w:w="778" w:type="pct"/>
            <w:vAlign w:val="bottom"/>
          </w:tcPr>
          <w:p w14:paraId="095DF6F6">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0.1667</w:t>
            </w:r>
          </w:p>
        </w:tc>
        <w:tc>
          <w:tcPr>
            <w:tcW w:w="779" w:type="pct"/>
            <w:vAlign w:val="bottom"/>
          </w:tcPr>
          <w:p w14:paraId="74D7FD60">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0.6252</w:t>
            </w:r>
          </w:p>
        </w:tc>
      </w:tr>
      <w:tr w14:paraId="2CAAE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7B38CB41">
            <w:pPr>
              <w:adjustRightInd w:val="0"/>
              <w:snapToGrid w:val="0"/>
              <w:spacing w:line="360" w:lineRule="auto"/>
              <w:rPr>
                <w:rFonts w:ascii="Times New Roman" w:hAnsi="Times New Roman"/>
                <w:kern w:val="0"/>
                <w:sz w:val="24"/>
              </w:rPr>
            </w:pPr>
            <w:r>
              <w:rPr>
                <w:rFonts w:hint="eastAsia" w:ascii="Times New Roman" w:hAnsi="Times New Roman"/>
                <w:kern w:val="0"/>
                <w:sz w:val="24"/>
              </w:rPr>
              <w:t>Tangram</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_Ref202173144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[49]</w:t>
            </w:r>
            <w:r>
              <w:rPr>
                <w:rFonts w:ascii="Times New Roman" w:hAnsi="Times New Roman"/>
                <w:kern w:val="0"/>
                <w:sz w:val="24"/>
                <w:vertAlign w:val="superscript"/>
              </w:rPr>
              <w:fldChar w:fldCharType="end"/>
            </w:r>
          </w:p>
        </w:tc>
        <w:tc>
          <w:tcPr>
            <w:tcW w:w="781" w:type="pct"/>
            <w:vAlign w:val="bottom"/>
          </w:tcPr>
          <w:p w14:paraId="4CDA6D28">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0.3693</w:t>
            </w:r>
          </w:p>
        </w:tc>
        <w:tc>
          <w:tcPr>
            <w:tcW w:w="780" w:type="pct"/>
            <w:vAlign w:val="bottom"/>
          </w:tcPr>
          <w:p w14:paraId="729A6AC6">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0.2875</w:t>
            </w:r>
          </w:p>
        </w:tc>
        <w:tc>
          <w:tcPr>
            <w:tcW w:w="780" w:type="pct"/>
            <w:vAlign w:val="bottom"/>
          </w:tcPr>
          <w:p w14:paraId="28FF2691">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0.4925</w:t>
            </w:r>
          </w:p>
        </w:tc>
        <w:tc>
          <w:tcPr>
            <w:tcW w:w="778" w:type="pct"/>
            <w:vAlign w:val="bottom"/>
          </w:tcPr>
          <w:p w14:paraId="5F774D3C">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0.1684</w:t>
            </w:r>
          </w:p>
        </w:tc>
        <w:tc>
          <w:tcPr>
            <w:tcW w:w="779" w:type="pct"/>
            <w:vAlign w:val="bottom"/>
          </w:tcPr>
          <w:p w14:paraId="7EDAD85A">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0.5699</w:t>
            </w:r>
          </w:p>
        </w:tc>
      </w:tr>
      <w:tr w14:paraId="67443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329C4EAB">
            <w:pPr>
              <w:adjustRightInd w:val="0"/>
              <w:snapToGrid w:val="0"/>
              <w:spacing w:line="360" w:lineRule="auto"/>
              <w:rPr>
                <w:rFonts w:ascii="Times New Roman" w:hAnsi="Times New Roman"/>
                <w:kern w:val="0"/>
                <w:sz w:val="24"/>
              </w:rPr>
            </w:pPr>
            <w:r>
              <w:rPr>
                <w:rFonts w:hint="eastAsia" w:ascii="Times New Roman" w:hAnsi="Times New Roman"/>
                <w:kern w:val="0"/>
                <w:sz w:val="24"/>
              </w:rPr>
              <w:t>SPOTlight</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_Ref201802856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[25]</w:t>
            </w:r>
            <w:r>
              <w:rPr>
                <w:rFonts w:ascii="Times New Roman" w:hAnsi="Times New Roman"/>
                <w:kern w:val="0"/>
                <w:sz w:val="24"/>
                <w:vertAlign w:val="superscript"/>
              </w:rPr>
              <w:fldChar w:fldCharType="end"/>
            </w:r>
          </w:p>
        </w:tc>
        <w:tc>
          <w:tcPr>
            <w:tcW w:w="781" w:type="pct"/>
            <w:vAlign w:val="bottom"/>
          </w:tcPr>
          <w:p w14:paraId="3182CB8A">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0.2829</w:t>
            </w:r>
          </w:p>
        </w:tc>
        <w:tc>
          <w:tcPr>
            <w:tcW w:w="780" w:type="pct"/>
            <w:vAlign w:val="bottom"/>
          </w:tcPr>
          <w:p w14:paraId="01C749AC">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0.1605</w:t>
            </w:r>
          </w:p>
        </w:tc>
        <w:tc>
          <w:tcPr>
            <w:tcW w:w="780" w:type="pct"/>
            <w:vAlign w:val="bottom"/>
          </w:tcPr>
          <w:p w14:paraId="55620B79">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0.4851</w:t>
            </w:r>
          </w:p>
        </w:tc>
        <w:tc>
          <w:tcPr>
            <w:tcW w:w="778" w:type="pct"/>
            <w:vAlign w:val="bottom"/>
          </w:tcPr>
          <w:p w14:paraId="2D5EFF72">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0.1607</w:t>
            </w:r>
          </w:p>
        </w:tc>
        <w:tc>
          <w:tcPr>
            <w:tcW w:w="779" w:type="pct"/>
            <w:vAlign w:val="bottom"/>
          </w:tcPr>
          <w:p w14:paraId="307A84C4">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0.6113</w:t>
            </w:r>
          </w:p>
        </w:tc>
      </w:tr>
      <w:tr w14:paraId="6CCF0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3E07EA97">
            <w:pPr>
              <w:adjustRightInd w:val="0"/>
              <w:snapToGrid w:val="0"/>
              <w:spacing w:line="360" w:lineRule="auto"/>
              <w:rPr>
                <w:rFonts w:ascii="Times New Roman" w:hAnsi="Times New Roman"/>
                <w:kern w:val="0"/>
                <w:sz w:val="24"/>
              </w:rPr>
            </w:pPr>
            <w:r>
              <w:rPr>
                <w:rFonts w:hint="eastAsia" w:ascii="Times New Roman" w:hAnsi="Times New Roman"/>
                <w:kern w:val="0"/>
                <w:sz w:val="24"/>
              </w:rPr>
              <w:t>SpatialDWLS</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_Ref201802930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[24]</w:t>
            </w:r>
            <w:r>
              <w:rPr>
                <w:rFonts w:ascii="Times New Roman" w:hAnsi="Times New Roman"/>
                <w:kern w:val="0"/>
                <w:sz w:val="24"/>
                <w:vertAlign w:val="superscript"/>
              </w:rPr>
              <w:fldChar w:fldCharType="end"/>
            </w:r>
          </w:p>
        </w:tc>
        <w:tc>
          <w:tcPr>
            <w:tcW w:w="781" w:type="pct"/>
            <w:vAlign w:val="bottom"/>
          </w:tcPr>
          <w:p w14:paraId="50BF7A5F">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0.4776</w:t>
            </w:r>
          </w:p>
        </w:tc>
        <w:tc>
          <w:tcPr>
            <w:tcW w:w="780" w:type="pct"/>
            <w:vAlign w:val="bottom"/>
          </w:tcPr>
          <w:p w14:paraId="5CC66E58">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0.3944</w:t>
            </w:r>
          </w:p>
        </w:tc>
        <w:tc>
          <w:tcPr>
            <w:tcW w:w="780" w:type="pct"/>
            <w:vAlign w:val="bottom"/>
          </w:tcPr>
          <w:p w14:paraId="43840C05">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0.5874</w:t>
            </w:r>
          </w:p>
        </w:tc>
        <w:tc>
          <w:tcPr>
            <w:tcW w:w="778" w:type="pct"/>
            <w:vAlign w:val="bottom"/>
          </w:tcPr>
          <w:p w14:paraId="3BCE04CB">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0.1473</w:t>
            </w:r>
          </w:p>
        </w:tc>
        <w:tc>
          <w:tcPr>
            <w:tcW w:w="779" w:type="pct"/>
            <w:vAlign w:val="bottom"/>
          </w:tcPr>
          <w:p w14:paraId="699AA594">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0.5321</w:t>
            </w:r>
          </w:p>
        </w:tc>
      </w:tr>
      <w:tr w14:paraId="3BFEE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5CCD90D7">
            <w:pPr>
              <w:adjustRightInd w:val="0"/>
              <w:snapToGrid w:val="0"/>
              <w:spacing w:line="360" w:lineRule="auto"/>
              <w:rPr>
                <w:rFonts w:ascii="Times New Roman" w:hAnsi="Times New Roman"/>
                <w:kern w:val="0"/>
                <w:sz w:val="24"/>
              </w:rPr>
            </w:pPr>
            <w:r>
              <w:rPr>
                <w:rFonts w:hint="eastAsia" w:ascii="Times New Roman" w:hAnsi="Times New Roman"/>
                <w:kern w:val="0"/>
                <w:sz w:val="24"/>
              </w:rPr>
              <w:t>DestVI</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_Ref201802838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[50]</w:t>
            </w:r>
            <w:r>
              <w:rPr>
                <w:rFonts w:ascii="Times New Roman" w:hAnsi="Times New Roman"/>
                <w:kern w:val="0"/>
                <w:sz w:val="24"/>
                <w:vertAlign w:val="superscript"/>
              </w:rPr>
              <w:fldChar w:fldCharType="end"/>
            </w:r>
          </w:p>
        </w:tc>
        <w:tc>
          <w:tcPr>
            <w:tcW w:w="781" w:type="pct"/>
            <w:vAlign w:val="bottom"/>
          </w:tcPr>
          <w:p w14:paraId="553A658A">
            <w:pPr>
              <w:adjustRightInd w:val="0"/>
              <w:snapToGrid w:val="0"/>
              <w:spacing w:line="360" w:lineRule="auto"/>
              <w:jc w:val="center"/>
              <w:rPr>
                <w:rFonts w:ascii="Times New Roman" w:hAnsi="Times New Roman"/>
                <w:color w:val="000000" w:themeColor="text1"/>
                <w:kern w:val="24"/>
                <w:sz w:val="24"/>
                <w14:textFill>
                  <w14:solidFill>
                    <w14:schemeClr w14:val="tx1"/>
                  </w14:solidFill>
                </w14:textFill>
              </w:rPr>
            </w:pPr>
            <w:r>
              <w:rPr>
                <w:rFonts w:ascii="Times New Roman" w:hAnsi="Times New Roman"/>
                <w:color w:val="000000" w:themeColor="text1"/>
                <w:kern w:val="24"/>
                <w:sz w:val="24"/>
                <w14:textFill>
                  <w14:solidFill>
                    <w14:schemeClr w14:val="tx1"/>
                  </w14:solidFill>
                </w14:textFill>
              </w:rPr>
              <w:t>0.2929</w:t>
            </w:r>
          </w:p>
        </w:tc>
        <w:tc>
          <w:tcPr>
            <w:tcW w:w="780" w:type="pct"/>
            <w:vAlign w:val="bottom"/>
          </w:tcPr>
          <w:p w14:paraId="3C564C61">
            <w:pPr>
              <w:adjustRightInd w:val="0"/>
              <w:snapToGrid w:val="0"/>
              <w:spacing w:line="360" w:lineRule="auto"/>
              <w:jc w:val="center"/>
              <w:rPr>
                <w:rFonts w:ascii="Times New Roman" w:hAnsi="Times New Roman"/>
                <w:color w:val="000000" w:themeColor="text1"/>
                <w:kern w:val="24"/>
                <w:sz w:val="24"/>
                <w14:textFill>
                  <w14:solidFill>
                    <w14:schemeClr w14:val="tx1"/>
                  </w14:solidFill>
                </w14:textFill>
              </w:rPr>
            </w:pPr>
            <w:r>
              <w:rPr>
                <w:rFonts w:ascii="Times New Roman" w:hAnsi="Times New Roman"/>
                <w:color w:val="000000" w:themeColor="text1"/>
                <w:kern w:val="24"/>
                <w:sz w:val="24"/>
                <w14:textFill>
                  <w14:solidFill>
                    <w14:schemeClr w14:val="tx1"/>
                  </w14:solidFill>
                </w14:textFill>
              </w:rPr>
              <w:t>0.1528</w:t>
            </w:r>
          </w:p>
        </w:tc>
        <w:tc>
          <w:tcPr>
            <w:tcW w:w="780" w:type="pct"/>
            <w:vAlign w:val="bottom"/>
          </w:tcPr>
          <w:p w14:paraId="55BCF8A2">
            <w:pPr>
              <w:adjustRightInd w:val="0"/>
              <w:snapToGrid w:val="0"/>
              <w:spacing w:line="360" w:lineRule="auto"/>
              <w:jc w:val="center"/>
              <w:rPr>
                <w:rFonts w:ascii="Times New Roman" w:hAnsi="Times New Roman"/>
                <w:color w:val="000000" w:themeColor="text1"/>
                <w:kern w:val="24"/>
                <w:sz w:val="24"/>
                <w14:textFill>
                  <w14:solidFill>
                    <w14:schemeClr w14:val="tx1"/>
                  </w14:solidFill>
                </w14:textFill>
              </w:rPr>
            </w:pPr>
            <w:r>
              <w:rPr>
                <w:rFonts w:ascii="Times New Roman" w:hAnsi="Times New Roman"/>
                <w:color w:val="000000" w:themeColor="text1"/>
                <w:kern w:val="24"/>
                <w:sz w:val="24"/>
                <w14:textFill>
                  <w14:solidFill>
                    <w14:schemeClr w14:val="tx1"/>
                  </w14:solidFill>
                </w14:textFill>
              </w:rPr>
              <w:t>0.4825</w:t>
            </w:r>
          </w:p>
        </w:tc>
        <w:tc>
          <w:tcPr>
            <w:tcW w:w="778" w:type="pct"/>
            <w:vAlign w:val="bottom"/>
          </w:tcPr>
          <w:p w14:paraId="4D9B3F0F">
            <w:pPr>
              <w:adjustRightInd w:val="0"/>
              <w:snapToGrid w:val="0"/>
              <w:spacing w:line="360" w:lineRule="auto"/>
              <w:jc w:val="center"/>
              <w:rPr>
                <w:rFonts w:ascii="Times New Roman" w:hAnsi="Times New Roman"/>
                <w:color w:val="000000" w:themeColor="text1"/>
                <w:kern w:val="24"/>
                <w:sz w:val="24"/>
                <w14:textFill>
                  <w14:solidFill>
                    <w14:schemeClr w14:val="tx1"/>
                  </w14:solidFill>
                </w14:textFill>
              </w:rPr>
            </w:pPr>
            <w:r>
              <w:rPr>
                <w:rFonts w:ascii="Times New Roman" w:hAnsi="Times New Roman"/>
                <w:color w:val="000000" w:themeColor="text1"/>
                <w:kern w:val="24"/>
                <w:sz w:val="24"/>
                <w14:textFill>
                  <w14:solidFill>
                    <w14:schemeClr w14:val="tx1"/>
                  </w14:solidFill>
                </w14:textFill>
              </w:rPr>
              <w:t>0.1626</w:t>
            </w:r>
          </w:p>
        </w:tc>
        <w:tc>
          <w:tcPr>
            <w:tcW w:w="779" w:type="pct"/>
            <w:vAlign w:val="bottom"/>
          </w:tcPr>
          <w:p w14:paraId="57CF04FB">
            <w:pPr>
              <w:adjustRightInd w:val="0"/>
              <w:snapToGrid w:val="0"/>
              <w:spacing w:line="360" w:lineRule="auto"/>
              <w:jc w:val="center"/>
              <w:rPr>
                <w:rFonts w:ascii="Times New Roman" w:hAnsi="Times New Roman"/>
                <w:color w:val="000000" w:themeColor="text1"/>
                <w:kern w:val="24"/>
                <w:sz w:val="24"/>
                <w14:textFill>
                  <w14:solidFill>
                    <w14:schemeClr w14:val="tx1"/>
                  </w14:solidFill>
                </w14:textFill>
              </w:rPr>
            </w:pPr>
            <w:r>
              <w:rPr>
                <w:rFonts w:ascii="Times New Roman" w:hAnsi="Times New Roman"/>
                <w:color w:val="000000" w:themeColor="text1"/>
                <w:kern w:val="24"/>
                <w:sz w:val="24"/>
                <w14:textFill>
                  <w14:solidFill>
                    <w14:schemeClr w14:val="tx1"/>
                  </w14:solidFill>
                </w14:textFill>
              </w:rPr>
              <w:t>0.5917</w:t>
            </w:r>
          </w:p>
        </w:tc>
      </w:tr>
      <w:tr w14:paraId="01E7F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3CB9404B">
            <w:pPr>
              <w:adjustRightInd w:val="0"/>
              <w:snapToGrid w:val="0"/>
              <w:spacing w:line="360" w:lineRule="auto"/>
              <w:rPr>
                <w:rFonts w:ascii="Times New Roman" w:hAnsi="Times New Roman"/>
                <w:kern w:val="0"/>
                <w:sz w:val="24"/>
              </w:rPr>
            </w:pPr>
            <w:r>
              <w:rPr>
                <w:rFonts w:hint="eastAsia" w:ascii="Times New Roman" w:hAnsi="Times New Roman"/>
                <w:kern w:val="0"/>
                <w:sz w:val="24"/>
              </w:rPr>
              <w:t>Cell2location</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_Ref201803049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[18]</w:t>
            </w:r>
            <w:r>
              <w:rPr>
                <w:rFonts w:ascii="Times New Roman" w:hAnsi="Times New Roman"/>
                <w:kern w:val="0"/>
                <w:sz w:val="24"/>
                <w:vertAlign w:val="superscript"/>
              </w:rPr>
              <w:fldChar w:fldCharType="end"/>
            </w:r>
          </w:p>
        </w:tc>
        <w:tc>
          <w:tcPr>
            <w:tcW w:w="781" w:type="pct"/>
            <w:vAlign w:val="bottom"/>
          </w:tcPr>
          <w:p w14:paraId="29E45091">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0.4421</w:t>
            </w:r>
          </w:p>
        </w:tc>
        <w:tc>
          <w:tcPr>
            <w:tcW w:w="780" w:type="pct"/>
            <w:vAlign w:val="bottom"/>
          </w:tcPr>
          <w:p w14:paraId="36F3A3EB">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0.2715</w:t>
            </w:r>
          </w:p>
        </w:tc>
        <w:tc>
          <w:tcPr>
            <w:tcW w:w="780" w:type="pct"/>
            <w:vAlign w:val="bottom"/>
          </w:tcPr>
          <w:p w14:paraId="3BE42EA9">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0.5746</w:t>
            </w:r>
          </w:p>
        </w:tc>
        <w:tc>
          <w:tcPr>
            <w:tcW w:w="778" w:type="pct"/>
            <w:vAlign w:val="bottom"/>
          </w:tcPr>
          <w:p w14:paraId="3BDEDD64">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0.1515</w:t>
            </w:r>
          </w:p>
        </w:tc>
        <w:tc>
          <w:tcPr>
            <w:tcW w:w="779" w:type="pct"/>
            <w:vAlign w:val="bottom"/>
          </w:tcPr>
          <w:p w14:paraId="6FE0108E">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0.5541</w:t>
            </w:r>
          </w:p>
        </w:tc>
      </w:tr>
      <w:tr w14:paraId="4E71B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3C421C08">
            <w:pPr>
              <w:adjustRightInd w:val="0"/>
              <w:snapToGrid w:val="0"/>
              <w:spacing w:line="360" w:lineRule="auto"/>
              <w:rPr>
                <w:rFonts w:ascii="Times New Roman" w:hAnsi="Times New Roman"/>
                <w:kern w:val="0"/>
                <w:sz w:val="24"/>
              </w:rPr>
            </w:pPr>
            <w:r>
              <w:rPr>
                <w:rFonts w:hint="eastAsia" w:ascii="Times New Roman" w:hAnsi="Times New Roman"/>
                <w:kern w:val="0"/>
                <w:sz w:val="24"/>
              </w:rPr>
              <w:t>RCTD</w:t>
            </w:r>
            <w:r>
              <w:rPr>
                <w:rFonts w:ascii="Times New Roman" w:hAnsi="Times New Roman"/>
                <w:kern w:val="0"/>
                <w:sz w:val="24"/>
                <w:vertAlign w:val="superscript"/>
              </w:rPr>
              <w:t>]</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REF _Ref201802971 \r \h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[19]</w:t>
            </w:r>
            <w:r>
              <w:rPr>
                <w:rFonts w:ascii="Times New Roman" w:hAnsi="Times New Roman"/>
                <w:kern w:val="0"/>
                <w:sz w:val="24"/>
                <w:vertAlign w:val="superscript"/>
              </w:rPr>
              <w:fldChar w:fldCharType="end"/>
            </w:r>
          </w:p>
        </w:tc>
        <w:tc>
          <w:tcPr>
            <w:tcW w:w="781" w:type="pct"/>
            <w:vAlign w:val="bottom"/>
          </w:tcPr>
          <w:p w14:paraId="4F3A37C6">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0.1499</w:t>
            </w:r>
          </w:p>
        </w:tc>
        <w:tc>
          <w:tcPr>
            <w:tcW w:w="780" w:type="pct"/>
            <w:vAlign w:val="bottom"/>
          </w:tcPr>
          <w:p w14:paraId="077A81BF">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0.1156</w:t>
            </w:r>
          </w:p>
        </w:tc>
        <w:tc>
          <w:tcPr>
            <w:tcW w:w="780" w:type="pct"/>
            <w:vAlign w:val="bottom"/>
          </w:tcPr>
          <w:p w14:paraId="01D03590">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0.3326</w:t>
            </w:r>
          </w:p>
        </w:tc>
        <w:tc>
          <w:tcPr>
            <w:tcW w:w="778" w:type="pct"/>
            <w:vAlign w:val="bottom"/>
          </w:tcPr>
          <w:p w14:paraId="2BA37921">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0.1887</w:t>
            </w:r>
          </w:p>
        </w:tc>
        <w:tc>
          <w:tcPr>
            <w:tcW w:w="779" w:type="pct"/>
            <w:vAlign w:val="bottom"/>
          </w:tcPr>
          <w:p w14:paraId="396ABA16">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0.6528</w:t>
            </w:r>
          </w:p>
        </w:tc>
      </w:tr>
      <w:tr w14:paraId="4C595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7BDFB576">
            <w:pPr>
              <w:adjustRightInd w:val="0"/>
              <w:snapToGrid w:val="0"/>
              <w:spacing w:line="360" w:lineRule="auto"/>
              <w:rPr>
                <w:rFonts w:ascii="Times New Roman" w:hAnsi="Times New Roman"/>
                <w:kern w:val="0"/>
                <w:sz w:val="24"/>
              </w:rPr>
            </w:pPr>
            <w:r>
              <w:rPr>
                <w:rFonts w:hint="eastAsia" w:ascii="Times New Roman" w:hAnsi="Times New Roman"/>
                <w:kern w:val="0"/>
                <w:sz w:val="24"/>
              </w:rPr>
              <w:t>Spatialcogcn</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_Ref201803224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[51]</w:t>
            </w:r>
            <w:r>
              <w:rPr>
                <w:rFonts w:ascii="Times New Roman" w:hAnsi="Times New Roman"/>
                <w:kern w:val="0"/>
                <w:sz w:val="24"/>
                <w:vertAlign w:val="superscript"/>
              </w:rPr>
              <w:fldChar w:fldCharType="end"/>
            </w:r>
          </w:p>
        </w:tc>
        <w:tc>
          <w:tcPr>
            <w:tcW w:w="781" w:type="pct"/>
            <w:vAlign w:val="bottom"/>
          </w:tcPr>
          <w:p w14:paraId="504169ED">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u w:val="single"/>
                <w14:textFill>
                  <w14:solidFill>
                    <w14:schemeClr w14:val="tx1"/>
                  </w14:solidFill>
                </w14:textFill>
              </w:rPr>
              <w:t>0.4990</w:t>
            </w:r>
          </w:p>
        </w:tc>
        <w:tc>
          <w:tcPr>
            <w:tcW w:w="780" w:type="pct"/>
            <w:vAlign w:val="bottom"/>
          </w:tcPr>
          <w:p w14:paraId="78897EE3">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u w:val="single"/>
                <w14:textFill>
                  <w14:solidFill>
                    <w14:schemeClr w14:val="tx1"/>
                  </w14:solidFill>
                </w14:textFill>
              </w:rPr>
              <w:t>0.3926</w:t>
            </w:r>
          </w:p>
        </w:tc>
        <w:tc>
          <w:tcPr>
            <w:tcW w:w="780" w:type="pct"/>
            <w:vAlign w:val="bottom"/>
          </w:tcPr>
          <w:p w14:paraId="4DD5C9D8">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dark1"/>
                <w:kern w:val="24"/>
                <w:sz w:val="24"/>
                <w:u w:val="single"/>
                <w14:textFill>
                  <w14:solidFill>
                    <w14:schemeClr w14:val="dk1"/>
                  </w14:solidFill>
                </w14:textFill>
              </w:rPr>
              <w:t>0.6076</w:t>
            </w:r>
          </w:p>
        </w:tc>
        <w:tc>
          <w:tcPr>
            <w:tcW w:w="778" w:type="pct"/>
            <w:vAlign w:val="bottom"/>
          </w:tcPr>
          <w:p w14:paraId="1DAD3538">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u w:val="single"/>
                <w14:textFill>
                  <w14:solidFill>
                    <w14:schemeClr w14:val="tx1"/>
                  </w14:solidFill>
                </w14:textFill>
              </w:rPr>
              <w:t>0.1386</w:t>
            </w:r>
          </w:p>
        </w:tc>
        <w:tc>
          <w:tcPr>
            <w:tcW w:w="779" w:type="pct"/>
            <w:vAlign w:val="bottom"/>
          </w:tcPr>
          <w:p w14:paraId="18DF5F57">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dark1"/>
                <w:kern w:val="24"/>
                <w:sz w:val="24"/>
                <w:u w:val="single"/>
                <w14:textFill>
                  <w14:solidFill>
                    <w14:schemeClr w14:val="dk1"/>
                  </w14:solidFill>
                </w14:textFill>
              </w:rPr>
              <w:t>0.5230</w:t>
            </w:r>
          </w:p>
        </w:tc>
      </w:tr>
      <w:tr w14:paraId="229F8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tcBorders>
              <w:bottom w:val="single" w:color="auto" w:sz="12" w:space="0"/>
            </w:tcBorders>
            <w:vAlign w:val="center"/>
          </w:tcPr>
          <w:p w14:paraId="1A60503F">
            <w:pPr>
              <w:adjustRightInd w:val="0"/>
              <w:snapToGrid w:val="0"/>
              <w:spacing w:line="360" w:lineRule="auto"/>
              <w:rPr>
                <w:rFonts w:ascii="Times New Roman" w:hAnsi="Times New Roman"/>
                <w:kern w:val="0"/>
                <w:sz w:val="24"/>
              </w:rPr>
            </w:pPr>
            <w:r>
              <w:rPr>
                <w:rFonts w:hint="eastAsia" w:ascii="Times New Roman" w:hAnsi="Times New Roman"/>
                <w:kern w:val="0"/>
                <w:sz w:val="24"/>
              </w:rPr>
              <w:t>GCIRS</w:t>
            </w:r>
          </w:p>
        </w:tc>
        <w:tc>
          <w:tcPr>
            <w:tcW w:w="781" w:type="pct"/>
            <w:tcBorders>
              <w:bottom w:val="single" w:color="auto" w:sz="12" w:space="0"/>
            </w:tcBorders>
            <w:vAlign w:val="bottom"/>
          </w:tcPr>
          <w:p w14:paraId="7BF34957">
            <w:pPr>
              <w:adjustRightInd w:val="0"/>
              <w:snapToGrid w:val="0"/>
              <w:spacing w:line="360" w:lineRule="auto"/>
              <w:jc w:val="center"/>
              <w:rPr>
                <w:rFonts w:ascii="Times New Roman" w:hAnsi="Times New Roman"/>
                <w:b/>
                <w:color w:val="000000"/>
                <w:kern w:val="0"/>
                <w:sz w:val="24"/>
              </w:rPr>
            </w:pPr>
            <w:r>
              <w:rPr>
                <w:rFonts w:ascii="Times New Roman" w:hAnsi="Times New Roman"/>
                <w:b/>
                <w:color w:val="000000" w:themeColor="text1"/>
                <w:kern w:val="24"/>
                <w:sz w:val="24"/>
                <w14:textFill>
                  <w14:solidFill>
                    <w14:schemeClr w14:val="tx1"/>
                  </w14:solidFill>
                </w14:textFill>
              </w:rPr>
              <w:t>0.5038</w:t>
            </w:r>
          </w:p>
        </w:tc>
        <w:tc>
          <w:tcPr>
            <w:tcW w:w="780" w:type="pct"/>
            <w:tcBorders>
              <w:bottom w:val="single" w:color="auto" w:sz="12" w:space="0"/>
            </w:tcBorders>
            <w:vAlign w:val="bottom"/>
          </w:tcPr>
          <w:p w14:paraId="3F51813F">
            <w:pPr>
              <w:adjustRightInd w:val="0"/>
              <w:snapToGrid w:val="0"/>
              <w:spacing w:line="360" w:lineRule="auto"/>
              <w:jc w:val="center"/>
              <w:rPr>
                <w:rFonts w:ascii="Times New Roman" w:hAnsi="Times New Roman"/>
                <w:b/>
                <w:color w:val="000000"/>
                <w:kern w:val="0"/>
                <w:sz w:val="24"/>
              </w:rPr>
            </w:pPr>
            <w:r>
              <w:rPr>
                <w:rFonts w:ascii="Times New Roman" w:hAnsi="Times New Roman"/>
                <w:b/>
                <w:color w:val="000000" w:themeColor="text1"/>
                <w:kern w:val="24"/>
                <w:sz w:val="24"/>
                <w14:textFill>
                  <w14:solidFill>
                    <w14:schemeClr w14:val="tx1"/>
                  </w14:solidFill>
                </w14:textFill>
              </w:rPr>
              <w:t>0.4192</w:t>
            </w:r>
          </w:p>
        </w:tc>
        <w:tc>
          <w:tcPr>
            <w:tcW w:w="780" w:type="pct"/>
            <w:tcBorders>
              <w:bottom w:val="single" w:color="auto" w:sz="12" w:space="0"/>
            </w:tcBorders>
            <w:vAlign w:val="bottom"/>
          </w:tcPr>
          <w:p w14:paraId="34D8246E">
            <w:pPr>
              <w:adjustRightInd w:val="0"/>
              <w:snapToGrid w:val="0"/>
              <w:spacing w:line="360" w:lineRule="auto"/>
              <w:jc w:val="center"/>
              <w:rPr>
                <w:rFonts w:ascii="Times New Roman" w:hAnsi="Times New Roman"/>
                <w:b/>
                <w:color w:val="000000"/>
                <w:kern w:val="0"/>
                <w:sz w:val="24"/>
              </w:rPr>
            </w:pPr>
            <w:r>
              <w:rPr>
                <w:rFonts w:ascii="Times New Roman" w:hAnsi="Times New Roman"/>
                <w:b/>
                <w:color w:val="000000" w:themeColor="text1"/>
                <w:kern w:val="24"/>
                <w:sz w:val="24"/>
                <w14:textFill>
                  <w14:solidFill>
                    <w14:schemeClr w14:val="tx1"/>
                  </w14:solidFill>
                </w14:textFill>
              </w:rPr>
              <w:t>0.6196</w:t>
            </w:r>
          </w:p>
        </w:tc>
        <w:tc>
          <w:tcPr>
            <w:tcW w:w="778" w:type="pct"/>
            <w:tcBorders>
              <w:bottom w:val="single" w:color="auto" w:sz="12" w:space="0"/>
            </w:tcBorders>
            <w:vAlign w:val="bottom"/>
          </w:tcPr>
          <w:p w14:paraId="62FA61EE">
            <w:pPr>
              <w:adjustRightInd w:val="0"/>
              <w:snapToGrid w:val="0"/>
              <w:spacing w:line="360" w:lineRule="auto"/>
              <w:jc w:val="center"/>
              <w:rPr>
                <w:rFonts w:ascii="Times New Roman" w:hAnsi="Times New Roman"/>
                <w:b/>
                <w:color w:val="000000"/>
                <w:kern w:val="0"/>
                <w:sz w:val="24"/>
              </w:rPr>
            </w:pPr>
            <w:r>
              <w:rPr>
                <w:rFonts w:ascii="Times New Roman" w:hAnsi="Times New Roman"/>
                <w:b/>
                <w:color w:val="000000" w:themeColor="text1"/>
                <w:kern w:val="24"/>
                <w:sz w:val="24"/>
                <w14:textFill>
                  <w14:solidFill>
                    <w14:schemeClr w14:val="tx1"/>
                  </w14:solidFill>
                </w14:textFill>
              </w:rPr>
              <w:t>0.1365</w:t>
            </w:r>
          </w:p>
        </w:tc>
        <w:tc>
          <w:tcPr>
            <w:tcW w:w="779" w:type="pct"/>
            <w:tcBorders>
              <w:bottom w:val="single" w:color="auto" w:sz="12" w:space="0"/>
            </w:tcBorders>
            <w:vAlign w:val="bottom"/>
          </w:tcPr>
          <w:p w14:paraId="3A8BDCB9">
            <w:pPr>
              <w:adjustRightInd w:val="0"/>
              <w:snapToGrid w:val="0"/>
              <w:spacing w:line="360" w:lineRule="auto"/>
              <w:jc w:val="center"/>
              <w:rPr>
                <w:rFonts w:ascii="Times New Roman" w:hAnsi="Times New Roman"/>
                <w:b/>
                <w:kern w:val="0"/>
                <w:sz w:val="24"/>
              </w:rPr>
            </w:pPr>
            <w:r>
              <w:rPr>
                <w:rFonts w:ascii="Times New Roman" w:hAnsi="Times New Roman"/>
                <w:b/>
                <w:color w:val="000000" w:themeColor="text1"/>
                <w:kern w:val="24"/>
                <w:sz w:val="24"/>
                <w14:textFill>
                  <w14:solidFill>
                    <w14:schemeClr w14:val="tx1"/>
                  </w14:solidFill>
                </w14:textFill>
              </w:rPr>
              <w:t>0.5104</w:t>
            </w:r>
          </w:p>
        </w:tc>
      </w:tr>
    </w:tbl>
    <w:p w14:paraId="7851B1A2">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（1）GCIRS的结果在数据集中的表现均有所提高。与次优结果相比，</w:t>
      </w:r>
      <w:bookmarkStart w:id="24" w:name="OLE_LINK12"/>
      <w:r>
        <w:rPr>
          <w:rFonts w:ascii="Times New Roman" w:hAnsi="Times New Roman"/>
          <w:sz w:val="24"/>
        </w:rPr>
        <w:t>ExSe</w:t>
      </w:r>
      <w:bookmarkStart w:id="25" w:name="OLE_LINK22"/>
      <w:r>
        <w:rPr>
          <w:rFonts w:ascii="Times New Roman" w:hAnsi="Times New Roman"/>
          <w:sz w:val="24"/>
        </w:rPr>
        <w:t>q</w:t>
      </w:r>
      <w:bookmarkEnd w:id="24"/>
      <w:bookmarkEnd w:id="25"/>
      <w:r>
        <w:rPr>
          <w:rFonts w:hint="eastAsia" w:ascii="Times New Roman" w:hAnsi="Times New Roman"/>
          <w:sz w:val="24"/>
        </w:rPr>
        <w:t>数据集中，在</w:t>
      </w:r>
      <w:bookmarkStart w:id="26" w:name="OLE_LINK11"/>
      <w:r>
        <w:rPr>
          <w:rFonts w:hint="eastAsia" w:ascii="Times New Roman" w:hAnsi="Times New Roman"/>
          <w:sz w:val="24"/>
        </w:rPr>
        <w:t>PCC、SSIM、COSSIM、RMSE</w:t>
      </w:r>
      <w:bookmarkEnd w:id="26"/>
      <w:r>
        <w:rPr>
          <w:rFonts w:hint="eastAsia" w:ascii="Times New Roman" w:hAnsi="Times New Roman"/>
          <w:sz w:val="24"/>
        </w:rPr>
        <w:t>和JSD五个指标中，提高了0.48%、2.66%、1.2%、0.21%和1.26%。在</w:t>
      </w:r>
      <w:bookmarkStart w:id="27" w:name="OLE_LINK13"/>
      <w:r>
        <w:rPr>
          <w:rFonts w:ascii="Times New Roman" w:hAnsi="Times New Roman"/>
          <w:sz w:val="24"/>
        </w:rPr>
        <w:t>seqFISH+</w:t>
      </w:r>
      <w:bookmarkEnd w:id="27"/>
      <w:r>
        <w:rPr>
          <w:rFonts w:hint="eastAsia" w:ascii="Times New Roman" w:hAnsi="Times New Roman"/>
          <w:sz w:val="24"/>
        </w:rPr>
        <w:t>数据集中，PCC、SSIM、COSSIM、RMSE分别提高了1.59%、0.33%、1.91%、0.49%。GCIRS构图时以细胞为媒介，挖掘了更多spot之间的设计结构化图对比学习能够更加充分地提取到scRNA-seq数据和空间转录组学数据的一致性信息，将scRNA-seq的信息迁移学习到空间转录组学数据中。</w:t>
      </w:r>
    </w:p>
    <w:p w14:paraId="0D480256">
      <w:pPr>
        <w:autoSpaceDE w:val="0"/>
        <w:autoSpaceDN w:val="0"/>
        <w:adjustRightInd w:val="0"/>
        <w:spacing w:before="120" w:line="360" w:lineRule="auto"/>
        <w:ind w:firstLine="480" w:firstLineChars="200"/>
        <w:rPr>
          <w:rFonts w:ascii="Times New Roman" w:hAnsi="Times New Roman"/>
          <w:sz w:val="24"/>
        </w:rPr>
      </w:pPr>
      <w:r>
        <w:rPr>
          <w:rFonts w:hint="eastAsia" w:ascii="Times New Roman" w:hAnsi="Times New Roman"/>
          <w:sz w:val="24"/>
        </w:rPr>
        <w:t>（2）相比于SSIM和JSD这两项评价指标，RMSE指标的数提升较少，这可能是因为在构造伪spot时，其空间信息是从空间转录组学数据中参考而来的，但是本身细胞的空间位置信息是受多种因素影响的，这种单一的构造方式并不能完全模拟出真实空间数据的空间信息，所以导致其提升比较少，且参考不同的空间信</w:t>
      </w:r>
    </w:p>
    <w:p w14:paraId="6C8BB523">
      <w:pPr>
        <w:adjustRightInd w:val="0"/>
        <w:snapToGrid w:val="0"/>
        <w:spacing w:before="120" w:line="360" w:lineRule="auto"/>
        <w:jc w:val="center"/>
        <w:rPr>
          <w:rFonts w:ascii="Times New Roman" w:hAnsi="Times New Roman"/>
          <w:sz w:val="24"/>
        </w:rPr>
      </w:pPr>
      <w:r>
        <w:rPr>
          <w:rFonts w:ascii="Times New Roman" w:hAnsi="Times New Roman"/>
          <w:kern w:val="0"/>
          <w:sz w:val="24"/>
        </w:rPr>
        <w:t>表3.</w:t>
      </w:r>
      <w:r>
        <w:rPr>
          <w:rFonts w:hint="eastAsia" w:ascii="Times New Roman" w:hAnsi="Times New Roman"/>
          <w:kern w:val="0"/>
          <w:sz w:val="24"/>
        </w:rPr>
        <w:t>4</w:t>
      </w:r>
      <w:r>
        <w:rPr>
          <w:rFonts w:ascii="Times New Roman" w:hAnsi="Times New Roman"/>
          <w:kern w:val="0"/>
          <w:sz w:val="24"/>
        </w:rPr>
        <w:t xml:space="preserve"> seqFISH+</w:t>
      </w:r>
      <w:r>
        <w:rPr>
          <w:rFonts w:hint="eastAsia" w:ascii="Times New Roman" w:hAnsi="Times New Roman"/>
          <w:kern w:val="0"/>
          <w:sz w:val="24"/>
        </w:rPr>
        <w:t>的对比实验结果</w:t>
      </w:r>
    </w:p>
    <w:tbl>
      <w:tblPr>
        <w:tblStyle w:val="1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8"/>
        <w:gridCol w:w="1332"/>
        <w:gridCol w:w="1331"/>
        <w:gridCol w:w="1331"/>
        <w:gridCol w:w="1327"/>
        <w:gridCol w:w="1329"/>
      </w:tblGrid>
      <w:tr w14:paraId="3BAD0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1101" w:type="pct"/>
            <w:tcBorders>
              <w:top w:val="single" w:color="auto" w:sz="12" w:space="0"/>
              <w:bottom w:val="single" w:color="auto" w:sz="8" w:space="0"/>
            </w:tcBorders>
            <w:vAlign w:val="center"/>
          </w:tcPr>
          <w:p w14:paraId="46B0E53E">
            <w:pPr>
              <w:adjustRightInd w:val="0"/>
              <w:snapToGrid w:val="0"/>
              <w:spacing w:line="360" w:lineRule="auto"/>
              <w:ind w:right="1830"/>
              <w:jc w:val="right"/>
              <w:rPr>
                <w:rFonts w:ascii="Times New Roman" w:hAnsi="Times New Roman"/>
                <w:kern w:val="0"/>
                <w:sz w:val="24"/>
              </w:rPr>
            </w:pPr>
          </w:p>
        </w:tc>
        <w:tc>
          <w:tcPr>
            <w:tcW w:w="781" w:type="pct"/>
            <w:tcBorders>
              <w:top w:val="single" w:color="auto" w:sz="12" w:space="0"/>
              <w:bottom w:val="single" w:color="auto" w:sz="8" w:space="0"/>
            </w:tcBorders>
            <w:vAlign w:val="center"/>
          </w:tcPr>
          <w:p w14:paraId="0B575A29">
            <w:pPr>
              <w:adjustRightInd w:val="0"/>
              <w:snapToGrid w:val="0"/>
              <w:jc w:val="center"/>
              <w:rPr>
                <w:rFonts w:ascii="Times New Roman" w:hAnsi="Times New Roman"/>
                <w:kern w:val="0"/>
                <w:sz w:val="24"/>
              </w:rPr>
            </w:pPr>
            <w:r>
              <w:rPr>
                <w:rFonts w:hint="eastAsia" w:ascii="Times New Roman" w:hAnsi="Times New Roman"/>
                <w:kern w:val="0"/>
                <w:sz w:val="24"/>
              </w:rPr>
              <w:t>PCC</w:t>
            </w:r>
          </w:p>
        </w:tc>
        <w:tc>
          <w:tcPr>
            <w:tcW w:w="780" w:type="pct"/>
            <w:tcBorders>
              <w:top w:val="single" w:color="auto" w:sz="12" w:space="0"/>
              <w:bottom w:val="single" w:color="auto" w:sz="8" w:space="0"/>
            </w:tcBorders>
            <w:vAlign w:val="center"/>
          </w:tcPr>
          <w:p w14:paraId="312A9A2E">
            <w:pPr>
              <w:adjustRightInd w:val="0"/>
              <w:snapToGrid w:val="0"/>
              <w:jc w:val="center"/>
              <w:rPr>
                <w:rFonts w:ascii="Times New Roman" w:hAnsi="Times New Roman"/>
                <w:kern w:val="0"/>
                <w:sz w:val="24"/>
              </w:rPr>
            </w:pPr>
            <w:r>
              <w:rPr>
                <w:rFonts w:ascii="Times New Roman" w:hAnsi="Times New Roman"/>
                <w:kern w:val="0"/>
                <w:sz w:val="24"/>
              </w:rPr>
              <w:t>SSIM</w:t>
            </w:r>
          </w:p>
        </w:tc>
        <w:tc>
          <w:tcPr>
            <w:tcW w:w="780" w:type="pct"/>
            <w:tcBorders>
              <w:top w:val="single" w:color="auto" w:sz="12" w:space="0"/>
              <w:bottom w:val="single" w:color="auto" w:sz="8" w:space="0"/>
            </w:tcBorders>
            <w:vAlign w:val="center"/>
          </w:tcPr>
          <w:p w14:paraId="4A69B4E5">
            <w:pPr>
              <w:adjustRightInd w:val="0"/>
              <w:snapToGrid w:val="0"/>
              <w:jc w:val="center"/>
              <w:rPr>
                <w:rFonts w:ascii="Times New Roman" w:hAnsi="Times New Roman"/>
                <w:kern w:val="0"/>
                <w:sz w:val="24"/>
              </w:rPr>
            </w:pPr>
            <w:r>
              <w:rPr>
                <w:rFonts w:hint="eastAsia" w:ascii="Times New Roman" w:hAnsi="Times New Roman"/>
                <w:kern w:val="0"/>
                <w:sz w:val="24"/>
              </w:rPr>
              <w:t>COSSIM</w:t>
            </w:r>
          </w:p>
        </w:tc>
        <w:tc>
          <w:tcPr>
            <w:tcW w:w="778" w:type="pct"/>
            <w:tcBorders>
              <w:top w:val="single" w:color="auto" w:sz="12" w:space="0"/>
              <w:bottom w:val="single" w:color="auto" w:sz="8" w:space="0"/>
            </w:tcBorders>
            <w:vAlign w:val="center"/>
          </w:tcPr>
          <w:p w14:paraId="544D9B65">
            <w:pPr>
              <w:adjustRightInd w:val="0"/>
              <w:snapToGrid w:val="0"/>
              <w:ind w:firstLine="360" w:firstLineChars="150"/>
              <w:jc w:val="center"/>
              <w:rPr>
                <w:rFonts w:ascii="Times New Roman" w:hAnsi="Times New Roman"/>
                <w:kern w:val="0"/>
                <w:sz w:val="24"/>
              </w:rPr>
            </w:pPr>
            <w:r>
              <w:rPr>
                <w:rFonts w:hint="eastAsia" w:ascii="Times New Roman" w:hAnsi="Times New Roman"/>
                <w:kern w:val="0"/>
                <w:sz w:val="24"/>
              </w:rPr>
              <w:t>RMSE</w:t>
            </w:r>
          </w:p>
        </w:tc>
        <w:tc>
          <w:tcPr>
            <w:tcW w:w="779" w:type="pct"/>
            <w:tcBorders>
              <w:top w:val="single" w:color="auto" w:sz="12" w:space="0"/>
              <w:bottom w:val="single" w:color="auto" w:sz="8" w:space="0"/>
            </w:tcBorders>
            <w:vAlign w:val="center"/>
          </w:tcPr>
          <w:p w14:paraId="404F423D">
            <w:pPr>
              <w:adjustRightInd w:val="0"/>
              <w:snapToGrid w:val="0"/>
              <w:jc w:val="center"/>
              <w:rPr>
                <w:rFonts w:ascii="Times New Roman" w:hAnsi="Times New Roman"/>
                <w:kern w:val="0"/>
                <w:sz w:val="24"/>
              </w:rPr>
            </w:pPr>
            <w:r>
              <w:rPr>
                <w:rFonts w:hint="eastAsia" w:ascii="Times New Roman" w:hAnsi="Times New Roman"/>
                <w:kern w:val="0"/>
                <w:sz w:val="24"/>
              </w:rPr>
              <w:t>JSD</w:t>
            </w:r>
          </w:p>
        </w:tc>
      </w:tr>
      <w:tr w14:paraId="34EF9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tcBorders>
              <w:top w:val="single" w:color="auto" w:sz="8" w:space="0"/>
            </w:tcBorders>
            <w:vAlign w:val="center"/>
          </w:tcPr>
          <w:p w14:paraId="7736F836">
            <w:pPr>
              <w:adjustRightInd w:val="0"/>
              <w:snapToGrid w:val="0"/>
              <w:spacing w:line="360" w:lineRule="auto"/>
              <w:rPr>
                <w:rFonts w:ascii="Times New Roman" w:hAnsi="Times New Roman"/>
                <w:kern w:val="0"/>
                <w:sz w:val="24"/>
              </w:rPr>
            </w:pPr>
            <w:r>
              <w:rPr>
                <w:rFonts w:hint="eastAsia" w:ascii="Times New Roman" w:hAnsi="Times New Roman"/>
                <w:kern w:val="0"/>
                <w:sz w:val="24"/>
              </w:rPr>
              <w:t>Seurat</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_Ref202807758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[47]</w:t>
            </w:r>
            <w:r>
              <w:rPr>
                <w:rFonts w:ascii="Times New Roman" w:hAnsi="Times New Roman"/>
                <w:kern w:val="0"/>
                <w:sz w:val="24"/>
                <w:vertAlign w:val="superscript"/>
              </w:rPr>
              <w:fldChar w:fldCharType="end"/>
            </w:r>
          </w:p>
        </w:tc>
        <w:tc>
          <w:tcPr>
            <w:tcW w:w="781" w:type="pct"/>
            <w:tcBorders>
              <w:top w:val="single" w:color="auto" w:sz="8" w:space="0"/>
            </w:tcBorders>
            <w:vAlign w:val="bottom"/>
          </w:tcPr>
          <w:p w14:paraId="12DD1C1E">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0.6721</w:t>
            </w:r>
          </w:p>
        </w:tc>
        <w:tc>
          <w:tcPr>
            <w:tcW w:w="780" w:type="pct"/>
            <w:tcBorders>
              <w:top w:val="single" w:color="auto" w:sz="8" w:space="0"/>
            </w:tcBorders>
            <w:vAlign w:val="bottom"/>
          </w:tcPr>
          <w:p w14:paraId="478C5EF9">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0.6021</w:t>
            </w:r>
          </w:p>
        </w:tc>
        <w:tc>
          <w:tcPr>
            <w:tcW w:w="780" w:type="pct"/>
            <w:tcBorders>
              <w:top w:val="single" w:color="auto" w:sz="8" w:space="0"/>
            </w:tcBorders>
            <w:vAlign w:val="bottom"/>
          </w:tcPr>
          <w:p w14:paraId="6F245982">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0.7240</w:t>
            </w:r>
          </w:p>
        </w:tc>
        <w:tc>
          <w:tcPr>
            <w:tcW w:w="778" w:type="pct"/>
            <w:tcBorders>
              <w:top w:val="single" w:color="auto" w:sz="8" w:space="0"/>
            </w:tcBorders>
            <w:vAlign w:val="bottom"/>
          </w:tcPr>
          <w:p w14:paraId="608AD55F">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0.1248</w:t>
            </w:r>
          </w:p>
        </w:tc>
        <w:tc>
          <w:tcPr>
            <w:tcW w:w="779" w:type="pct"/>
            <w:tcBorders>
              <w:top w:val="single" w:color="auto" w:sz="8" w:space="0"/>
            </w:tcBorders>
            <w:vAlign w:val="bottom"/>
          </w:tcPr>
          <w:p w14:paraId="4928952C">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0.4077</w:t>
            </w:r>
          </w:p>
        </w:tc>
      </w:tr>
      <w:tr w14:paraId="59E90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66565505">
            <w:pPr>
              <w:adjustRightInd w:val="0"/>
              <w:snapToGrid w:val="0"/>
              <w:spacing w:line="360" w:lineRule="auto"/>
              <w:rPr>
                <w:rFonts w:ascii="Times New Roman" w:hAnsi="Times New Roman"/>
                <w:kern w:val="0"/>
                <w:sz w:val="24"/>
              </w:rPr>
            </w:pPr>
            <w:r>
              <w:rPr>
                <w:rFonts w:hint="eastAsia" w:ascii="Times New Roman" w:hAnsi="Times New Roman"/>
                <w:kern w:val="0"/>
                <w:sz w:val="24"/>
              </w:rPr>
              <w:t>Stereoscope</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_Ref201863134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[20]</w:t>
            </w:r>
            <w:r>
              <w:rPr>
                <w:rFonts w:ascii="Times New Roman" w:hAnsi="Times New Roman"/>
                <w:kern w:val="0"/>
                <w:sz w:val="24"/>
                <w:vertAlign w:val="superscript"/>
              </w:rPr>
              <w:fldChar w:fldCharType="end"/>
            </w:r>
          </w:p>
        </w:tc>
        <w:tc>
          <w:tcPr>
            <w:tcW w:w="781" w:type="pct"/>
            <w:vAlign w:val="bottom"/>
          </w:tcPr>
          <w:p w14:paraId="19089110">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0.2936</w:t>
            </w:r>
          </w:p>
        </w:tc>
        <w:tc>
          <w:tcPr>
            <w:tcW w:w="780" w:type="pct"/>
            <w:vAlign w:val="bottom"/>
          </w:tcPr>
          <w:p w14:paraId="78B1CA08">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0.0152</w:t>
            </w:r>
          </w:p>
        </w:tc>
        <w:tc>
          <w:tcPr>
            <w:tcW w:w="780" w:type="pct"/>
            <w:vAlign w:val="bottom"/>
          </w:tcPr>
          <w:p w14:paraId="57A09016">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0.4607</w:t>
            </w:r>
          </w:p>
        </w:tc>
        <w:tc>
          <w:tcPr>
            <w:tcW w:w="778" w:type="pct"/>
            <w:vAlign w:val="bottom"/>
          </w:tcPr>
          <w:p w14:paraId="45C48D82">
            <w:pPr>
              <w:adjustRightInd w:val="0"/>
              <w:snapToGrid w:val="0"/>
              <w:spacing w:line="360" w:lineRule="auto"/>
              <w:jc w:val="center"/>
              <w:rPr>
                <w:rFonts w:ascii="Times New Roman" w:hAnsi="Times New Roman"/>
                <w:kern w:val="0"/>
                <w:sz w:val="24"/>
              </w:rPr>
            </w:pPr>
            <w:r>
              <w:rPr>
                <w:rFonts w:ascii="Times New Roman" w:hAnsi="Times New Roman"/>
                <w:color w:val="000000" w:themeColor="text1"/>
                <w:kern w:val="24"/>
                <w:sz w:val="24"/>
                <w14:textFill>
                  <w14:solidFill>
                    <w14:schemeClr w14:val="tx1"/>
                  </w14:solidFill>
                </w14:textFill>
              </w:rPr>
              <w:t>0.1484</w:t>
            </w:r>
          </w:p>
        </w:tc>
        <w:tc>
          <w:tcPr>
            <w:tcW w:w="779" w:type="pct"/>
            <w:vAlign w:val="bottom"/>
          </w:tcPr>
          <w:p w14:paraId="20759530">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0.5887</w:t>
            </w:r>
          </w:p>
        </w:tc>
      </w:tr>
      <w:tr w14:paraId="0BD8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5BD3F0D5">
            <w:pPr>
              <w:adjustRightInd w:val="0"/>
              <w:snapToGrid w:val="0"/>
              <w:spacing w:line="360" w:lineRule="auto"/>
              <w:rPr>
                <w:rFonts w:ascii="Times New Roman" w:hAnsi="Times New Roman"/>
                <w:kern w:val="0"/>
                <w:sz w:val="24"/>
              </w:rPr>
            </w:pPr>
            <w:r>
              <w:rPr>
                <w:rFonts w:hint="eastAsia" w:ascii="Times New Roman" w:hAnsi="Times New Roman"/>
                <w:kern w:val="0"/>
                <w:sz w:val="24"/>
              </w:rPr>
              <w:t>Tangram</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_Ref202173144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[49]</w:t>
            </w:r>
            <w:r>
              <w:rPr>
                <w:rFonts w:ascii="Times New Roman" w:hAnsi="Times New Roman"/>
                <w:kern w:val="0"/>
                <w:sz w:val="24"/>
                <w:vertAlign w:val="superscript"/>
              </w:rPr>
              <w:fldChar w:fldCharType="end"/>
            </w:r>
          </w:p>
        </w:tc>
        <w:tc>
          <w:tcPr>
            <w:tcW w:w="781" w:type="pct"/>
            <w:vAlign w:val="bottom"/>
          </w:tcPr>
          <w:p w14:paraId="6CCB0D31">
            <w:pPr>
              <w:adjustRightInd w:val="0"/>
              <w:snapToGrid w:val="0"/>
              <w:spacing w:line="360" w:lineRule="auto"/>
              <w:jc w:val="center"/>
              <w:rPr>
                <w:rFonts w:ascii="Times New Roman" w:hAnsi="Times New Roman"/>
                <w:kern w:val="0"/>
                <w:sz w:val="24"/>
                <w:u w:val="single"/>
              </w:rPr>
            </w:pPr>
            <w:r>
              <w:rPr>
                <w:rFonts w:ascii="Times New Roman" w:hAnsi="Times New Roman"/>
                <w:color w:val="000000" w:themeColor="text1"/>
                <w:kern w:val="24"/>
                <w:sz w:val="24"/>
                <w:u w:val="single"/>
                <w14:textFill>
                  <w14:solidFill>
                    <w14:schemeClr w14:val="tx1"/>
                  </w14:solidFill>
                </w14:textFill>
              </w:rPr>
              <w:t>0.7610</w:t>
            </w:r>
          </w:p>
        </w:tc>
        <w:tc>
          <w:tcPr>
            <w:tcW w:w="780" w:type="pct"/>
            <w:vAlign w:val="bottom"/>
          </w:tcPr>
          <w:p w14:paraId="44C60DA2">
            <w:pPr>
              <w:adjustRightInd w:val="0"/>
              <w:snapToGrid w:val="0"/>
              <w:spacing w:line="360" w:lineRule="auto"/>
              <w:jc w:val="center"/>
              <w:rPr>
                <w:rFonts w:ascii="Times New Roman" w:hAnsi="Times New Roman"/>
                <w:kern w:val="0"/>
                <w:sz w:val="24"/>
                <w:u w:val="single"/>
              </w:rPr>
            </w:pPr>
            <w:r>
              <w:rPr>
                <w:rFonts w:ascii="Times New Roman" w:hAnsi="Times New Roman"/>
                <w:color w:val="000000" w:themeColor="text1"/>
                <w:kern w:val="24"/>
                <w:sz w:val="24"/>
                <w:u w:val="single"/>
                <w14:textFill>
                  <w14:solidFill>
                    <w14:schemeClr w14:val="tx1"/>
                  </w14:solidFill>
                </w14:textFill>
              </w:rPr>
              <w:t>0.7242</w:t>
            </w:r>
          </w:p>
        </w:tc>
        <w:tc>
          <w:tcPr>
            <w:tcW w:w="780" w:type="pct"/>
            <w:vAlign w:val="bottom"/>
          </w:tcPr>
          <w:p w14:paraId="7D05CB00">
            <w:pPr>
              <w:adjustRightInd w:val="0"/>
              <w:snapToGrid w:val="0"/>
              <w:spacing w:line="360" w:lineRule="auto"/>
              <w:jc w:val="center"/>
              <w:rPr>
                <w:rFonts w:ascii="Times New Roman" w:hAnsi="Times New Roman"/>
                <w:kern w:val="0"/>
                <w:sz w:val="24"/>
                <w:u w:val="single"/>
              </w:rPr>
            </w:pPr>
            <w:r>
              <w:rPr>
                <w:rFonts w:ascii="Times New Roman" w:hAnsi="Times New Roman"/>
                <w:color w:val="000000" w:themeColor="text1"/>
                <w:kern w:val="24"/>
                <w:sz w:val="24"/>
                <w:u w:val="single"/>
                <w14:textFill>
                  <w14:solidFill>
                    <w14:schemeClr w14:val="tx1"/>
                  </w14:solidFill>
                </w14:textFill>
              </w:rPr>
              <w:t>0.8195</w:t>
            </w:r>
          </w:p>
        </w:tc>
        <w:tc>
          <w:tcPr>
            <w:tcW w:w="778" w:type="pct"/>
            <w:vAlign w:val="bottom"/>
          </w:tcPr>
          <w:p w14:paraId="6249C652">
            <w:pPr>
              <w:adjustRightInd w:val="0"/>
              <w:snapToGrid w:val="0"/>
              <w:spacing w:line="360" w:lineRule="auto"/>
              <w:jc w:val="center"/>
              <w:rPr>
                <w:rFonts w:ascii="Times New Roman" w:hAnsi="Times New Roman"/>
                <w:kern w:val="0"/>
                <w:sz w:val="24"/>
                <w:u w:val="single"/>
              </w:rPr>
            </w:pPr>
            <w:r>
              <w:rPr>
                <w:rFonts w:ascii="Times New Roman" w:hAnsi="Times New Roman"/>
                <w:color w:val="000000" w:themeColor="text1"/>
                <w:kern w:val="24"/>
                <w:sz w:val="24"/>
                <w:u w:val="single"/>
                <w14:textFill>
                  <w14:solidFill>
                    <w14:schemeClr w14:val="tx1"/>
                  </w14:solidFill>
                </w14:textFill>
              </w:rPr>
              <w:t>0.0793</w:t>
            </w:r>
          </w:p>
        </w:tc>
        <w:tc>
          <w:tcPr>
            <w:tcW w:w="779" w:type="pct"/>
            <w:vAlign w:val="bottom"/>
          </w:tcPr>
          <w:p w14:paraId="434A136D">
            <w:pPr>
              <w:adjustRightInd w:val="0"/>
              <w:snapToGrid w:val="0"/>
              <w:spacing w:line="360" w:lineRule="auto"/>
              <w:jc w:val="center"/>
              <w:rPr>
                <w:rFonts w:ascii="Times New Roman" w:hAnsi="Times New Roman"/>
                <w:color w:val="000000"/>
                <w:kern w:val="0"/>
                <w:sz w:val="24"/>
                <w:u w:val="single"/>
              </w:rPr>
            </w:pPr>
            <w:r>
              <w:rPr>
                <w:rFonts w:ascii="Times New Roman" w:hAnsi="Times New Roman"/>
                <w:color w:val="000000" w:themeColor="text1"/>
                <w:kern w:val="24"/>
                <w:sz w:val="24"/>
                <w:u w:val="single"/>
                <w14:textFill>
                  <w14:solidFill>
                    <w14:schemeClr w14:val="tx1"/>
                  </w14:solidFill>
                </w14:textFill>
              </w:rPr>
              <w:t>0.3405</w:t>
            </w:r>
          </w:p>
        </w:tc>
      </w:tr>
      <w:tr w14:paraId="272E3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7CB92EA8">
            <w:pPr>
              <w:adjustRightInd w:val="0"/>
              <w:snapToGrid w:val="0"/>
              <w:spacing w:line="360" w:lineRule="auto"/>
              <w:rPr>
                <w:rFonts w:ascii="Times New Roman" w:hAnsi="Times New Roman"/>
                <w:kern w:val="0"/>
                <w:sz w:val="24"/>
              </w:rPr>
            </w:pPr>
            <w:r>
              <w:rPr>
                <w:rFonts w:hint="eastAsia" w:ascii="Times New Roman" w:hAnsi="Times New Roman"/>
                <w:kern w:val="0"/>
                <w:sz w:val="24"/>
              </w:rPr>
              <w:t>SPOTlight</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_Ref201802856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[25]</w:t>
            </w:r>
            <w:r>
              <w:rPr>
                <w:rFonts w:ascii="Times New Roman" w:hAnsi="Times New Roman"/>
                <w:kern w:val="0"/>
                <w:sz w:val="24"/>
                <w:vertAlign w:val="superscript"/>
              </w:rPr>
              <w:fldChar w:fldCharType="end"/>
            </w:r>
          </w:p>
        </w:tc>
        <w:tc>
          <w:tcPr>
            <w:tcW w:w="781" w:type="pct"/>
            <w:vAlign w:val="bottom"/>
          </w:tcPr>
          <w:p w14:paraId="673FE09C">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0.6752</w:t>
            </w:r>
          </w:p>
        </w:tc>
        <w:tc>
          <w:tcPr>
            <w:tcW w:w="780" w:type="pct"/>
            <w:vAlign w:val="bottom"/>
          </w:tcPr>
          <w:p w14:paraId="1898AAFF">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0.4754</w:t>
            </w:r>
          </w:p>
        </w:tc>
        <w:tc>
          <w:tcPr>
            <w:tcW w:w="780" w:type="pct"/>
            <w:vAlign w:val="bottom"/>
          </w:tcPr>
          <w:p w14:paraId="33E4C8D0">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0.7464</w:t>
            </w:r>
          </w:p>
        </w:tc>
        <w:tc>
          <w:tcPr>
            <w:tcW w:w="778" w:type="pct"/>
            <w:vAlign w:val="bottom"/>
          </w:tcPr>
          <w:p w14:paraId="6AF894AC">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0.1168</w:t>
            </w:r>
          </w:p>
        </w:tc>
        <w:tc>
          <w:tcPr>
            <w:tcW w:w="779" w:type="pct"/>
            <w:vAlign w:val="bottom"/>
          </w:tcPr>
          <w:p w14:paraId="5D6C84C4">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0.4894</w:t>
            </w:r>
          </w:p>
        </w:tc>
      </w:tr>
      <w:tr w14:paraId="7BA6F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3406B3B3">
            <w:pPr>
              <w:adjustRightInd w:val="0"/>
              <w:snapToGrid w:val="0"/>
              <w:spacing w:line="360" w:lineRule="auto"/>
              <w:rPr>
                <w:rFonts w:ascii="Times New Roman" w:hAnsi="Times New Roman"/>
                <w:kern w:val="0"/>
                <w:sz w:val="24"/>
              </w:rPr>
            </w:pPr>
            <w:r>
              <w:rPr>
                <w:rFonts w:hint="eastAsia" w:ascii="Times New Roman" w:hAnsi="Times New Roman"/>
                <w:kern w:val="0"/>
                <w:sz w:val="24"/>
              </w:rPr>
              <w:t>SpatialDWLS</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_Ref201802930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[24]</w:t>
            </w:r>
            <w:r>
              <w:rPr>
                <w:rFonts w:ascii="Times New Roman" w:hAnsi="Times New Roman"/>
                <w:kern w:val="0"/>
                <w:sz w:val="24"/>
                <w:vertAlign w:val="superscript"/>
              </w:rPr>
              <w:fldChar w:fldCharType="end"/>
            </w:r>
          </w:p>
        </w:tc>
        <w:tc>
          <w:tcPr>
            <w:tcW w:w="781" w:type="pct"/>
            <w:vAlign w:val="bottom"/>
          </w:tcPr>
          <w:p w14:paraId="0028B106">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0.7</w:t>
            </w:r>
            <w:r>
              <w:rPr>
                <w:rFonts w:hint="eastAsia" w:ascii="Times New Roman" w:hAnsi="Times New Roman"/>
                <w:color w:val="000000" w:themeColor="text1"/>
                <w:kern w:val="24"/>
                <w:sz w:val="24"/>
                <w14:textFill>
                  <w14:solidFill>
                    <w14:schemeClr w14:val="tx1"/>
                  </w14:solidFill>
                </w14:textFill>
              </w:rPr>
              <w:t>564</w:t>
            </w:r>
          </w:p>
        </w:tc>
        <w:tc>
          <w:tcPr>
            <w:tcW w:w="780" w:type="pct"/>
            <w:vAlign w:val="bottom"/>
          </w:tcPr>
          <w:p w14:paraId="341BE23C">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0.7</w:t>
            </w:r>
            <w:r>
              <w:rPr>
                <w:rFonts w:hint="eastAsia" w:ascii="Times New Roman" w:hAnsi="Times New Roman"/>
                <w:color w:val="000000" w:themeColor="text1"/>
                <w:kern w:val="24"/>
                <w:sz w:val="24"/>
                <w14:textFill>
                  <w14:solidFill>
                    <w14:schemeClr w14:val="tx1"/>
                  </w14:solidFill>
                </w14:textFill>
              </w:rPr>
              <w:t>034</w:t>
            </w:r>
          </w:p>
        </w:tc>
        <w:tc>
          <w:tcPr>
            <w:tcW w:w="780" w:type="pct"/>
            <w:vAlign w:val="bottom"/>
          </w:tcPr>
          <w:p w14:paraId="2CC2F456">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w:t>
            </w:r>
            <w:r>
              <w:rPr>
                <w:rFonts w:hint="eastAsia" w:ascii="Times New Roman" w:hAnsi="Times New Roman"/>
                <w:color w:val="000000" w:themeColor="text1"/>
                <w:kern w:val="24"/>
                <w:sz w:val="24"/>
                <w14:textFill>
                  <w14:solidFill>
                    <w14:schemeClr w14:val="tx1"/>
                  </w14:solidFill>
                </w14:textFill>
              </w:rPr>
              <w:t>7988</w:t>
            </w:r>
          </w:p>
        </w:tc>
        <w:tc>
          <w:tcPr>
            <w:tcW w:w="778" w:type="pct"/>
            <w:vAlign w:val="bottom"/>
          </w:tcPr>
          <w:p w14:paraId="4E24559E">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0.0</w:t>
            </w:r>
            <w:r>
              <w:rPr>
                <w:rFonts w:hint="eastAsia" w:ascii="Times New Roman" w:hAnsi="Times New Roman"/>
                <w:color w:val="000000" w:themeColor="text1"/>
                <w:kern w:val="24"/>
                <w:sz w:val="24"/>
                <w14:textFill>
                  <w14:solidFill>
                    <w14:schemeClr w14:val="tx1"/>
                  </w14:solidFill>
                </w14:textFill>
              </w:rPr>
              <w:t>882</w:t>
            </w:r>
          </w:p>
        </w:tc>
        <w:tc>
          <w:tcPr>
            <w:tcW w:w="779" w:type="pct"/>
            <w:vAlign w:val="bottom"/>
          </w:tcPr>
          <w:p w14:paraId="62F56816">
            <w:pPr>
              <w:adjustRightInd w:val="0"/>
              <w:snapToGrid w:val="0"/>
              <w:spacing w:line="360" w:lineRule="auto"/>
              <w:jc w:val="center"/>
              <w:rPr>
                <w:rFonts w:ascii="Times New Roman" w:hAnsi="Times New Roman"/>
                <w:b/>
                <w:bCs/>
                <w:color w:val="000000"/>
                <w:kern w:val="0"/>
                <w:sz w:val="24"/>
              </w:rPr>
            </w:pPr>
            <w:r>
              <w:rPr>
                <w:rFonts w:ascii="Times New Roman" w:hAnsi="Times New Roman"/>
                <w:b/>
                <w:bCs/>
                <w:color w:val="000000" w:themeColor="text1"/>
                <w:kern w:val="24"/>
                <w:sz w:val="24"/>
                <w14:textFill>
                  <w14:solidFill>
                    <w14:schemeClr w14:val="tx1"/>
                  </w14:solidFill>
                </w14:textFill>
              </w:rPr>
              <w:t>0.</w:t>
            </w:r>
            <w:r>
              <w:rPr>
                <w:rFonts w:hint="eastAsia" w:ascii="Times New Roman" w:hAnsi="Times New Roman"/>
                <w:b/>
                <w:bCs/>
                <w:color w:val="000000" w:themeColor="text1"/>
                <w:kern w:val="24"/>
                <w:sz w:val="24"/>
                <w14:textFill>
                  <w14:solidFill>
                    <w14:schemeClr w14:val="tx1"/>
                  </w14:solidFill>
                </w14:textFill>
              </w:rPr>
              <w:t>3386</w:t>
            </w:r>
          </w:p>
        </w:tc>
      </w:tr>
      <w:tr w14:paraId="607CA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506E99FD">
            <w:pPr>
              <w:adjustRightInd w:val="0"/>
              <w:snapToGrid w:val="0"/>
              <w:spacing w:line="360" w:lineRule="auto"/>
              <w:rPr>
                <w:rFonts w:ascii="Times New Roman" w:hAnsi="Times New Roman"/>
                <w:kern w:val="0"/>
                <w:sz w:val="24"/>
              </w:rPr>
            </w:pPr>
            <w:r>
              <w:rPr>
                <w:rFonts w:hint="eastAsia" w:ascii="Times New Roman" w:hAnsi="Times New Roman"/>
                <w:kern w:val="0"/>
                <w:sz w:val="24"/>
              </w:rPr>
              <w:t>DestVI</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_Ref201802838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[50]</w:t>
            </w:r>
            <w:r>
              <w:rPr>
                <w:rFonts w:ascii="Times New Roman" w:hAnsi="Times New Roman"/>
                <w:kern w:val="0"/>
                <w:sz w:val="24"/>
                <w:vertAlign w:val="superscript"/>
              </w:rPr>
              <w:fldChar w:fldCharType="end"/>
            </w:r>
          </w:p>
        </w:tc>
        <w:tc>
          <w:tcPr>
            <w:tcW w:w="781" w:type="pct"/>
            <w:vAlign w:val="bottom"/>
          </w:tcPr>
          <w:p w14:paraId="3E164C76">
            <w:pPr>
              <w:adjustRightInd w:val="0"/>
              <w:snapToGrid w:val="0"/>
              <w:spacing w:line="360" w:lineRule="auto"/>
              <w:jc w:val="center"/>
              <w:rPr>
                <w:rFonts w:ascii="Times New Roman" w:hAnsi="Times New Roman"/>
                <w:color w:val="000000" w:themeColor="text1"/>
                <w:kern w:val="24"/>
                <w:sz w:val="24"/>
                <w14:textFill>
                  <w14:solidFill>
                    <w14:schemeClr w14:val="tx1"/>
                  </w14:solidFill>
                </w14:textFill>
              </w:rPr>
            </w:pPr>
            <w:r>
              <w:rPr>
                <w:rFonts w:ascii="Times New Roman" w:hAnsi="Times New Roman"/>
                <w:color w:val="000000" w:themeColor="text1"/>
                <w:kern w:val="24"/>
                <w:sz w:val="24"/>
                <w14:textFill>
                  <w14:solidFill>
                    <w14:schemeClr w14:val="tx1"/>
                  </w14:solidFill>
                </w14:textFill>
              </w:rPr>
              <w:t>0.0792</w:t>
            </w:r>
          </w:p>
        </w:tc>
        <w:tc>
          <w:tcPr>
            <w:tcW w:w="780" w:type="pct"/>
            <w:vAlign w:val="bottom"/>
          </w:tcPr>
          <w:p w14:paraId="788024A1">
            <w:pPr>
              <w:adjustRightInd w:val="0"/>
              <w:snapToGrid w:val="0"/>
              <w:spacing w:line="360" w:lineRule="auto"/>
              <w:jc w:val="center"/>
              <w:rPr>
                <w:rFonts w:ascii="Times New Roman" w:hAnsi="Times New Roman"/>
                <w:color w:val="000000" w:themeColor="text1"/>
                <w:kern w:val="24"/>
                <w:sz w:val="24"/>
                <w14:textFill>
                  <w14:solidFill>
                    <w14:schemeClr w14:val="tx1"/>
                  </w14:solidFill>
                </w14:textFill>
              </w:rPr>
            </w:pPr>
            <w:r>
              <w:rPr>
                <w:rFonts w:ascii="Times New Roman" w:hAnsi="Times New Roman"/>
                <w:color w:val="000000" w:themeColor="text1"/>
                <w:kern w:val="24"/>
                <w:sz w:val="24"/>
                <w14:textFill>
                  <w14:solidFill>
                    <w14:schemeClr w14:val="tx1"/>
                  </w14:solidFill>
                </w14:textFill>
              </w:rPr>
              <w:t>0.0813</w:t>
            </w:r>
          </w:p>
        </w:tc>
        <w:tc>
          <w:tcPr>
            <w:tcW w:w="780" w:type="pct"/>
            <w:vAlign w:val="bottom"/>
          </w:tcPr>
          <w:p w14:paraId="670A258E">
            <w:pPr>
              <w:adjustRightInd w:val="0"/>
              <w:snapToGrid w:val="0"/>
              <w:spacing w:line="360" w:lineRule="auto"/>
              <w:jc w:val="center"/>
              <w:rPr>
                <w:rFonts w:ascii="Times New Roman" w:hAnsi="Times New Roman"/>
                <w:color w:val="000000" w:themeColor="text1"/>
                <w:kern w:val="24"/>
                <w:sz w:val="24"/>
                <w14:textFill>
                  <w14:solidFill>
                    <w14:schemeClr w14:val="tx1"/>
                  </w14:solidFill>
                </w14:textFill>
              </w:rPr>
            </w:pPr>
            <w:r>
              <w:rPr>
                <w:rFonts w:ascii="Times New Roman" w:hAnsi="Times New Roman"/>
                <w:color w:val="000000" w:themeColor="text1"/>
                <w:kern w:val="24"/>
                <w:sz w:val="24"/>
                <w14:textFill>
                  <w14:solidFill>
                    <w14:schemeClr w14:val="tx1"/>
                  </w14:solidFill>
                </w14:textFill>
              </w:rPr>
              <w:t>0.2615</w:t>
            </w:r>
          </w:p>
        </w:tc>
        <w:tc>
          <w:tcPr>
            <w:tcW w:w="778" w:type="pct"/>
            <w:vAlign w:val="bottom"/>
          </w:tcPr>
          <w:p w14:paraId="0B4F962D">
            <w:pPr>
              <w:adjustRightInd w:val="0"/>
              <w:snapToGrid w:val="0"/>
              <w:spacing w:line="360" w:lineRule="auto"/>
              <w:jc w:val="center"/>
              <w:rPr>
                <w:rFonts w:ascii="Times New Roman" w:hAnsi="Times New Roman"/>
                <w:color w:val="000000" w:themeColor="text1"/>
                <w:kern w:val="24"/>
                <w:sz w:val="24"/>
                <w14:textFill>
                  <w14:solidFill>
                    <w14:schemeClr w14:val="tx1"/>
                  </w14:solidFill>
                </w14:textFill>
              </w:rPr>
            </w:pPr>
            <w:r>
              <w:rPr>
                <w:rFonts w:ascii="Times New Roman" w:hAnsi="Times New Roman"/>
                <w:color w:val="000000" w:themeColor="text1"/>
                <w:kern w:val="24"/>
                <w:sz w:val="24"/>
                <w14:textFill>
                  <w14:solidFill>
                    <w14:schemeClr w14:val="tx1"/>
                  </w14:solidFill>
                </w14:textFill>
              </w:rPr>
              <w:t>0.1950</w:t>
            </w:r>
          </w:p>
        </w:tc>
        <w:tc>
          <w:tcPr>
            <w:tcW w:w="779" w:type="pct"/>
            <w:vAlign w:val="bottom"/>
          </w:tcPr>
          <w:p w14:paraId="0740EACF">
            <w:pPr>
              <w:adjustRightInd w:val="0"/>
              <w:snapToGrid w:val="0"/>
              <w:spacing w:line="360" w:lineRule="auto"/>
              <w:jc w:val="center"/>
              <w:rPr>
                <w:rFonts w:ascii="Times New Roman" w:hAnsi="Times New Roman"/>
                <w:color w:val="000000" w:themeColor="text1"/>
                <w:kern w:val="24"/>
                <w:sz w:val="24"/>
                <w14:textFill>
                  <w14:solidFill>
                    <w14:schemeClr w14:val="tx1"/>
                  </w14:solidFill>
                </w14:textFill>
              </w:rPr>
            </w:pPr>
            <w:r>
              <w:rPr>
                <w:rFonts w:ascii="Times New Roman" w:hAnsi="Times New Roman"/>
                <w:color w:val="000000" w:themeColor="text1"/>
                <w:kern w:val="24"/>
                <w:sz w:val="24"/>
                <w14:textFill>
                  <w14:solidFill>
                    <w14:schemeClr w14:val="tx1"/>
                  </w14:solidFill>
                </w14:textFill>
              </w:rPr>
              <w:t>0.6748</w:t>
            </w:r>
          </w:p>
        </w:tc>
      </w:tr>
      <w:tr w14:paraId="55467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29DEE9DE">
            <w:pPr>
              <w:adjustRightInd w:val="0"/>
              <w:snapToGrid w:val="0"/>
              <w:spacing w:line="360" w:lineRule="auto"/>
              <w:rPr>
                <w:rFonts w:ascii="Times New Roman" w:hAnsi="Times New Roman"/>
                <w:kern w:val="0"/>
                <w:sz w:val="24"/>
              </w:rPr>
            </w:pPr>
            <w:r>
              <w:rPr>
                <w:rFonts w:hint="eastAsia" w:ascii="Times New Roman" w:hAnsi="Times New Roman"/>
                <w:kern w:val="0"/>
                <w:sz w:val="24"/>
              </w:rPr>
              <w:t>Cell2location</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_Ref201803049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[18]</w:t>
            </w:r>
            <w:r>
              <w:rPr>
                <w:rFonts w:ascii="Times New Roman" w:hAnsi="Times New Roman"/>
                <w:kern w:val="0"/>
                <w:sz w:val="24"/>
                <w:vertAlign w:val="superscript"/>
              </w:rPr>
              <w:fldChar w:fldCharType="end"/>
            </w:r>
          </w:p>
        </w:tc>
        <w:tc>
          <w:tcPr>
            <w:tcW w:w="781" w:type="pct"/>
            <w:vAlign w:val="bottom"/>
          </w:tcPr>
          <w:p w14:paraId="67BEC522">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0.7231</w:t>
            </w:r>
          </w:p>
        </w:tc>
        <w:tc>
          <w:tcPr>
            <w:tcW w:w="780" w:type="pct"/>
            <w:vAlign w:val="bottom"/>
          </w:tcPr>
          <w:p w14:paraId="1C9DA13D">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0.5803</w:t>
            </w:r>
          </w:p>
        </w:tc>
        <w:tc>
          <w:tcPr>
            <w:tcW w:w="780" w:type="pct"/>
            <w:vAlign w:val="bottom"/>
          </w:tcPr>
          <w:p w14:paraId="663F6C9C">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0.7918</w:t>
            </w:r>
          </w:p>
        </w:tc>
        <w:tc>
          <w:tcPr>
            <w:tcW w:w="778" w:type="pct"/>
            <w:vAlign w:val="bottom"/>
          </w:tcPr>
          <w:p w14:paraId="2A369981">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0.1051</w:t>
            </w:r>
          </w:p>
        </w:tc>
        <w:tc>
          <w:tcPr>
            <w:tcW w:w="779" w:type="pct"/>
            <w:vAlign w:val="bottom"/>
          </w:tcPr>
          <w:p w14:paraId="0BABB4DF">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0.4270</w:t>
            </w:r>
          </w:p>
        </w:tc>
      </w:tr>
      <w:tr w14:paraId="33374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0C0332DB">
            <w:pPr>
              <w:adjustRightInd w:val="0"/>
              <w:snapToGrid w:val="0"/>
              <w:spacing w:line="360" w:lineRule="auto"/>
              <w:rPr>
                <w:rFonts w:ascii="Times New Roman" w:hAnsi="Times New Roman"/>
                <w:kern w:val="0"/>
                <w:sz w:val="24"/>
              </w:rPr>
            </w:pPr>
            <w:r>
              <w:rPr>
                <w:rFonts w:hint="eastAsia" w:ascii="Times New Roman" w:hAnsi="Times New Roman"/>
                <w:kern w:val="0"/>
                <w:sz w:val="24"/>
              </w:rPr>
              <w:t>RCTD</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_Ref201802971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[19]</w:t>
            </w:r>
            <w:r>
              <w:rPr>
                <w:rFonts w:ascii="Times New Roman" w:hAnsi="Times New Roman"/>
                <w:kern w:val="0"/>
                <w:sz w:val="24"/>
                <w:vertAlign w:val="superscript"/>
              </w:rPr>
              <w:fldChar w:fldCharType="end"/>
            </w:r>
          </w:p>
        </w:tc>
        <w:tc>
          <w:tcPr>
            <w:tcW w:w="781" w:type="pct"/>
            <w:vAlign w:val="bottom"/>
          </w:tcPr>
          <w:p w14:paraId="71C2A5F7">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0.1030</w:t>
            </w:r>
          </w:p>
        </w:tc>
        <w:tc>
          <w:tcPr>
            <w:tcW w:w="780" w:type="pct"/>
            <w:vAlign w:val="bottom"/>
          </w:tcPr>
          <w:p w14:paraId="5365ED97">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0.0921</w:t>
            </w:r>
          </w:p>
        </w:tc>
        <w:tc>
          <w:tcPr>
            <w:tcW w:w="780" w:type="pct"/>
            <w:vAlign w:val="bottom"/>
          </w:tcPr>
          <w:p w14:paraId="08589340">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0.2893</w:t>
            </w:r>
          </w:p>
        </w:tc>
        <w:tc>
          <w:tcPr>
            <w:tcW w:w="778" w:type="pct"/>
            <w:vAlign w:val="bottom"/>
          </w:tcPr>
          <w:p w14:paraId="4915A61D">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0.1992</w:t>
            </w:r>
          </w:p>
        </w:tc>
        <w:tc>
          <w:tcPr>
            <w:tcW w:w="779" w:type="pct"/>
            <w:vAlign w:val="bottom"/>
          </w:tcPr>
          <w:p w14:paraId="5E927249">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text1"/>
                <w:kern w:val="24"/>
                <w:sz w:val="24"/>
                <w14:textFill>
                  <w14:solidFill>
                    <w14:schemeClr w14:val="tx1"/>
                  </w14:solidFill>
                </w14:textFill>
              </w:rPr>
              <w:t>0.6652</w:t>
            </w:r>
          </w:p>
        </w:tc>
      </w:tr>
      <w:tr w14:paraId="61A89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vAlign w:val="center"/>
          </w:tcPr>
          <w:p w14:paraId="6B8C74CD">
            <w:pPr>
              <w:adjustRightInd w:val="0"/>
              <w:snapToGrid w:val="0"/>
              <w:spacing w:line="360" w:lineRule="auto"/>
              <w:rPr>
                <w:rFonts w:ascii="Times New Roman" w:hAnsi="Times New Roman"/>
                <w:kern w:val="0"/>
                <w:sz w:val="24"/>
              </w:rPr>
            </w:pPr>
            <w:r>
              <w:rPr>
                <w:rFonts w:hint="eastAsia" w:ascii="Times New Roman" w:hAnsi="Times New Roman"/>
                <w:kern w:val="0"/>
                <w:sz w:val="24"/>
              </w:rPr>
              <w:t>Spatialcogcn</w:t>
            </w:r>
            <w:r>
              <w:rPr>
                <w:rFonts w:ascii="Times New Roman" w:hAnsi="Times New Roman"/>
                <w:kern w:val="0"/>
                <w:sz w:val="24"/>
                <w:vertAlign w:val="superscript"/>
              </w:rPr>
              <w:fldChar w:fldCharType="begin"/>
            </w:r>
            <w:r>
              <w:rPr>
                <w:rFonts w:ascii="Times New Roman" w:hAnsi="Times New Roman"/>
                <w:kern w:val="0"/>
                <w:sz w:val="24"/>
                <w:vertAlign w:val="superscript"/>
              </w:rPr>
              <w:instrText xml:space="preserve"> </w:instrText>
            </w:r>
            <w:r>
              <w:rPr>
                <w:rFonts w:hint="eastAsia" w:ascii="Times New Roman" w:hAnsi="Times New Roman"/>
                <w:kern w:val="0"/>
                <w:sz w:val="24"/>
                <w:vertAlign w:val="superscript"/>
              </w:rPr>
              <w:instrText xml:space="preserve">REF _Ref201803224 \r \h</w:instrText>
            </w:r>
            <w:r>
              <w:rPr>
                <w:rFonts w:ascii="Times New Roman" w:hAnsi="Times New Roman"/>
                <w:kern w:val="0"/>
                <w:sz w:val="24"/>
                <w:vertAlign w:val="superscript"/>
              </w:rPr>
              <w:instrText xml:space="preserve">  \* MERGEFORMAT </w:instrText>
            </w:r>
            <w:r>
              <w:rPr>
                <w:rFonts w:ascii="Times New Roman" w:hAnsi="Times New Roman"/>
                <w:kern w:val="0"/>
                <w:sz w:val="24"/>
                <w:vertAlign w:val="superscript"/>
              </w:rPr>
              <w:fldChar w:fldCharType="separate"/>
            </w:r>
            <w:r>
              <w:rPr>
                <w:rFonts w:ascii="Times New Roman" w:hAnsi="Times New Roman"/>
                <w:kern w:val="0"/>
                <w:sz w:val="24"/>
                <w:vertAlign w:val="superscript"/>
              </w:rPr>
              <w:t>[51]</w:t>
            </w:r>
            <w:r>
              <w:rPr>
                <w:rFonts w:ascii="Times New Roman" w:hAnsi="Times New Roman"/>
                <w:kern w:val="0"/>
                <w:sz w:val="24"/>
                <w:vertAlign w:val="superscript"/>
              </w:rPr>
              <w:fldChar w:fldCharType="end"/>
            </w:r>
          </w:p>
        </w:tc>
        <w:tc>
          <w:tcPr>
            <w:tcW w:w="781" w:type="pct"/>
            <w:vAlign w:val="bottom"/>
          </w:tcPr>
          <w:p w14:paraId="0669D75C">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dark1"/>
                <w:kern w:val="24"/>
                <w:sz w:val="24"/>
                <w14:textFill>
                  <w14:solidFill>
                    <w14:schemeClr w14:val="dk1"/>
                  </w14:solidFill>
                </w14:textFill>
              </w:rPr>
              <w:t>0.</w:t>
            </w:r>
            <w:r>
              <w:rPr>
                <w:rFonts w:hint="eastAsia" w:ascii="Times New Roman" w:hAnsi="Times New Roman"/>
                <w:color w:val="000000" w:themeColor="dark1"/>
                <w:kern w:val="24"/>
                <w:sz w:val="24"/>
                <w14:textFill>
                  <w14:solidFill>
                    <w14:schemeClr w14:val="dk1"/>
                  </w14:solidFill>
                </w14:textFill>
              </w:rPr>
              <w:t>7</w:t>
            </w:r>
            <w:r>
              <w:rPr>
                <w:rFonts w:ascii="Times New Roman" w:hAnsi="Times New Roman"/>
                <w:color w:val="000000" w:themeColor="dark1"/>
                <w:kern w:val="24"/>
                <w:sz w:val="24"/>
                <w14:textFill>
                  <w14:solidFill>
                    <w14:schemeClr w14:val="dk1"/>
                  </w14:solidFill>
                </w14:textFill>
              </w:rPr>
              <w:t>545</w:t>
            </w:r>
          </w:p>
        </w:tc>
        <w:tc>
          <w:tcPr>
            <w:tcW w:w="780" w:type="pct"/>
            <w:vAlign w:val="bottom"/>
          </w:tcPr>
          <w:p w14:paraId="257793B4">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dark1"/>
                <w:kern w:val="24"/>
                <w:sz w:val="24"/>
                <w14:textFill>
                  <w14:solidFill>
                    <w14:schemeClr w14:val="dk1"/>
                  </w14:solidFill>
                </w14:textFill>
              </w:rPr>
              <w:t>0.</w:t>
            </w:r>
            <w:r>
              <w:rPr>
                <w:rFonts w:hint="eastAsia" w:ascii="Times New Roman" w:hAnsi="Times New Roman"/>
                <w:color w:val="000000" w:themeColor="dark1"/>
                <w:kern w:val="24"/>
                <w:sz w:val="24"/>
                <w14:textFill>
                  <w14:solidFill>
                    <w14:schemeClr w14:val="dk1"/>
                  </w14:solidFill>
                </w14:textFill>
              </w:rPr>
              <w:t>70</w:t>
            </w:r>
            <w:r>
              <w:rPr>
                <w:rFonts w:ascii="Times New Roman" w:hAnsi="Times New Roman"/>
                <w:color w:val="000000" w:themeColor="dark1"/>
                <w:kern w:val="24"/>
                <w:sz w:val="24"/>
                <w14:textFill>
                  <w14:solidFill>
                    <w14:schemeClr w14:val="dk1"/>
                  </w14:solidFill>
                </w14:textFill>
              </w:rPr>
              <w:t>68</w:t>
            </w:r>
          </w:p>
        </w:tc>
        <w:tc>
          <w:tcPr>
            <w:tcW w:w="780" w:type="pct"/>
            <w:vAlign w:val="bottom"/>
          </w:tcPr>
          <w:p w14:paraId="776A2B77">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dark1"/>
                <w:kern w:val="24"/>
                <w:sz w:val="24"/>
                <w14:textFill>
                  <w14:solidFill>
                    <w14:schemeClr w14:val="dk1"/>
                  </w14:solidFill>
                </w14:textFill>
              </w:rPr>
              <w:t>0.</w:t>
            </w:r>
            <w:r>
              <w:rPr>
                <w:rFonts w:hint="eastAsia" w:ascii="Times New Roman" w:hAnsi="Times New Roman"/>
                <w:color w:val="000000" w:themeColor="dark1"/>
                <w:kern w:val="24"/>
                <w:sz w:val="24"/>
                <w14:textFill>
                  <w14:solidFill>
                    <w14:schemeClr w14:val="dk1"/>
                  </w14:solidFill>
                </w14:textFill>
              </w:rPr>
              <w:t>81</w:t>
            </w:r>
            <w:r>
              <w:rPr>
                <w:rFonts w:ascii="Times New Roman" w:hAnsi="Times New Roman"/>
                <w:color w:val="000000" w:themeColor="dark1"/>
                <w:kern w:val="24"/>
                <w:sz w:val="24"/>
                <w14:textFill>
                  <w14:solidFill>
                    <w14:schemeClr w14:val="dk1"/>
                  </w14:solidFill>
                </w14:textFill>
              </w:rPr>
              <w:t>83</w:t>
            </w:r>
          </w:p>
        </w:tc>
        <w:tc>
          <w:tcPr>
            <w:tcW w:w="778" w:type="pct"/>
            <w:vAlign w:val="bottom"/>
          </w:tcPr>
          <w:p w14:paraId="3F127495">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dark1"/>
                <w:kern w:val="24"/>
                <w:sz w:val="24"/>
                <w14:textFill>
                  <w14:solidFill>
                    <w14:schemeClr w14:val="dk1"/>
                  </w14:solidFill>
                </w14:textFill>
              </w:rPr>
              <w:t>0.</w:t>
            </w:r>
            <w:r>
              <w:rPr>
                <w:rFonts w:hint="eastAsia" w:ascii="Times New Roman" w:hAnsi="Times New Roman"/>
                <w:color w:val="000000" w:themeColor="dark1"/>
                <w:kern w:val="24"/>
                <w:sz w:val="24"/>
                <w14:textFill>
                  <w14:solidFill>
                    <w14:schemeClr w14:val="dk1"/>
                  </w14:solidFill>
                </w14:textFill>
              </w:rPr>
              <w:t>0872</w:t>
            </w:r>
          </w:p>
        </w:tc>
        <w:tc>
          <w:tcPr>
            <w:tcW w:w="779" w:type="pct"/>
            <w:vAlign w:val="bottom"/>
          </w:tcPr>
          <w:p w14:paraId="420F57D0">
            <w:pPr>
              <w:adjustRightInd w:val="0"/>
              <w:snapToGrid w:val="0"/>
              <w:spacing w:line="360" w:lineRule="auto"/>
              <w:jc w:val="center"/>
              <w:rPr>
                <w:rFonts w:ascii="Times New Roman" w:hAnsi="Times New Roman"/>
                <w:color w:val="000000"/>
                <w:kern w:val="0"/>
                <w:sz w:val="24"/>
              </w:rPr>
            </w:pPr>
            <w:r>
              <w:rPr>
                <w:rFonts w:ascii="Times New Roman" w:hAnsi="Times New Roman"/>
                <w:color w:val="000000" w:themeColor="dark1"/>
                <w:kern w:val="24"/>
                <w:sz w:val="24"/>
                <w14:textFill>
                  <w14:solidFill>
                    <w14:schemeClr w14:val="dk1"/>
                  </w14:solidFill>
                </w14:textFill>
              </w:rPr>
              <w:t>0.</w:t>
            </w:r>
            <w:r>
              <w:rPr>
                <w:rFonts w:hint="eastAsia" w:ascii="Times New Roman" w:hAnsi="Times New Roman"/>
                <w:color w:val="000000" w:themeColor="dark1"/>
                <w:kern w:val="24"/>
                <w:sz w:val="24"/>
                <w14:textFill>
                  <w14:solidFill>
                    <w14:schemeClr w14:val="dk1"/>
                  </w14:solidFill>
                </w14:textFill>
              </w:rPr>
              <w:t>3471</w:t>
            </w:r>
          </w:p>
        </w:tc>
      </w:tr>
      <w:tr w14:paraId="5A5C9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01" w:type="pct"/>
            <w:tcBorders>
              <w:bottom w:val="single" w:color="auto" w:sz="12" w:space="0"/>
            </w:tcBorders>
            <w:vAlign w:val="center"/>
          </w:tcPr>
          <w:p w14:paraId="1CDC4411">
            <w:pPr>
              <w:adjustRightInd w:val="0"/>
              <w:snapToGrid w:val="0"/>
              <w:spacing w:line="360" w:lineRule="auto"/>
              <w:rPr>
                <w:rFonts w:ascii="Times New Roman" w:hAnsi="Times New Roman"/>
                <w:kern w:val="0"/>
                <w:sz w:val="24"/>
              </w:rPr>
            </w:pPr>
            <w:r>
              <w:rPr>
                <w:rFonts w:hint="eastAsia" w:ascii="Times New Roman" w:hAnsi="Times New Roman"/>
                <w:kern w:val="0"/>
                <w:sz w:val="24"/>
              </w:rPr>
              <w:t>GCIRS</w:t>
            </w:r>
          </w:p>
        </w:tc>
        <w:tc>
          <w:tcPr>
            <w:tcW w:w="781" w:type="pct"/>
            <w:tcBorders>
              <w:bottom w:val="single" w:color="auto" w:sz="12" w:space="0"/>
            </w:tcBorders>
          </w:tcPr>
          <w:p w14:paraId="492C0542">
            <w:pPr>
              <w:adjustRightInd w:val="0"/>
              <w:snapToGrid w:val="0"/>
              <w:spacing w:line="360" w:lineRule="auto"/>
              <w:jc w:val="center"/>
              <w:rPr>
                <w:rFonts w:ascii="Times New Roman" w:hAnsi="Times New Roman"/>
                <w:b/>
                <w:bCs/>
                <w:color w:val="000000" w:themeColor="text1"/>
                <w:kern w:val="24"/>
                <w:sz w:val="24"/>
                <w14:textFill>
                  <w14:solidFill>
                    <w14:schemeClr w14:val="tx1"/>
                  </w14:solidFill>
                </w14:textFill>
              </w:rPr>
            </w:pPr>
            <w:r>
              <w:rPr>
                <w:rFonts w:ascii="Times New Roman" w:hAnsi="Times New Roman"/>
                <w:b/>
                <w:bCs/>
                <w:color w:val="000000" w:themeColor="text1"/>
                <w:kern w:val="24"/>
                <w:sz w:val="24"/>
                <w14:textFill>
                  <w14:solidFill>
                    <w14:schemeClr w14:val="tx1"/>
                  </w14:solidFill>
                </w14:textFill>
              </w:rPr>
              <w:t>0.7</w:t>
            </w:r>
            <w:r>
              <w:rPr>
                <w:rFonts w:hint="eastAsia" w:ascii="Times New Roman" w:hAnsi="Times New Roman"/>
                <w:b/>
                <w:bCs/>
                <w:color w:val="000000" w:themeColor="text1"/>
                <w:kern w:val="24"/>
                <w:sz w:val="24"/>
                <w14:textFill>
                  <w14:solidFill>
                    <w14:schemeClr w14:val="tx1"/>
                  </w14:solidFill>
                </w14:textFill>
              </w:rPr>
              <w:t>769</w:t>
            </w:r>
          </w:p>
        </w:tc>
        <w:tc>
          <w:tcPr>
            <w:tcW w:w="780" w:type="pct"/>
            <w:tcBorders>
              <w:bottom w:val="single" w:color="auto" w:sz="12" w:space="0"/>
            </w:tcBorders>
          </w:tcPr>
          <w:p w14:paraId="38D2A0F3">
            <w:pPr>
              <w:adjustRightInd w:val="0"/>
              <w:snapToGrid w:val="0"/>
              <w:spacing w:line="360" w:lineRule="auto"/>
              <w:jc w:val="center"/>
              <w:rPr>
                <w:rFonts w:ascii="Times New Roman" w:hAnsi="Times New Roman"/>
                <w:b/>
                <w:bCs/>
                <w:color w:val="000000" w:themeColor="text1"/>
                <w:kern w:val="24"/>
                <w:sz w:val="24"/>
                <w14:textFill>
                  <w14:solidFill>
                    <w14:schemeClr w14:val="tx1"/>
                  </w14:solidFill>
                </w14:textFill>
              </w:rPr>
            </w:pPr>
            <w:r>
              <w:rPr>
                <w:rFonts w:ascii="Times New Roman" w:hAnsi="Times New Roman"/>
                <w:b/>
                <w:bCs/>
                <w:color w:val="000000" w:themeColor="text1"/>
                <w:kern w:val="24"/>
                <w:sz w:val="24"/>
                <w14:textFill>
                  <w14:solidFill>
                    <w14:schemeClr w14:val="tx1"/>
                  </w14:solidFill>
                </w14:textFill>
              </w:rPr>
              <w:t>0.</w:t>
            </w:r>
            <w:r>
              <w:rPr>
                <w:rFonts w:hint="eastAsia" w:ascii="Times New Roman" w:hAnsi="Times New Roman"/>
                <w:b/>
                <w:bCs/>
                <w:color w:val="000000" w:themeColor="text1"/>
                <w:kern w:val="24"/>
                <w:sz w:val="24"/>
                <w14:textFill>
                  <w14:solidFill>
                    <w14:schemeClr w14:val="tx1"/>
                  </w14:solidFill>
                </w14:textFill>
              </w:rPr>
              <w:t>7279</w:t>
            </w:r>
          </w:p>
        </w:tc>
        <w:tc>
          <w:tcPr>
            <w:tcW w:w="780" w:type="pct"/>
            <w:tcBorders>
              <w:bottom w:val="single" w:color="auto" w:sz="12" w:space="0"/>
            </w:tcBorders>
          </w:tcPr>
          <w:p w14:paraId="03755A4E">
            <w:pPr>
              <w:adjustRightInd w:val="0"/>
              <w:snapToGrid w:val="0"/>
              <w:spacing w:line="360" w:lineRule="auto"/>
              <w:jc w:val="center"/>
              <w:rPr>
                <w:rFonts w:ascii="Times New Roman" w:hAnsi="Times New Roman"/>
                <w:b/>
                <w:bCs/>
                <w:color w:val="000000" w:themeColor="text1"/>
                <w:kern w:val="24"/>
                <w:sz w:val="24"/>
                <w14:textFill>
                  <w14:solidFill>
                    <w14:schemeClr w14:val="tx1"/>
                  </w14:solidFill>
                </w14:textFill>
              </w:rPr>
            </w:pPr>
            <w:r>
              <w:rPr>
                <w:rFonts w:ascii="Times New Roman" w:hAnsi="Times New Roman"/>
                <w:b/>
                <w:bCs/>
                <w:color w:val="000000" w:themeColor="text1"/>
                <w:kern w:val="24"/>
                <w:sz w:val="24"/>
                <w14:textFill>
                  <w14:solidFill>
                    <w14:schemeClr w14:val="tx1"/>
                  </w14:solidFill>
                </w14:textFill>
              </w:rPr>
              <w:t>0.</w:t>
            </w:r>
            <w:r>
              <w:rPr>
                <w:rFonts w:hint="eastAsia" w:ascii="Times New Roman" w:hAnsi="Times New Roman"/>
                <w:b/>
                <w:bCs/>
                <w:color w:val="000000" w:themeColor="text1"/>
                <w:kern w:val="24"/>
                <w:sz w:val="24"/>
                <w14:textFill>
                  <w14:solidFill>
                    <w14:schemeClr w14:val="tx1"/>
                  </w14:solidFill>
                </w14:textFill>
              </w:rPr>
              <w:t>8386</w:t>
            </w:r>
          </w:p>
        </w:tc>
        <w:tc>
          <w:tcPr>
            <w:tcW w:w="778" w:type="pct"/>
            <w:tcBorders>
              <w:bottom w:val="single" w:color="auto" w:sz="12" w:space="0"/>
            </w:tcBorders>
          </w:tcPr>
          <w:p w14:paraId="48161583">
            <w:pPr>
              <w:adjustRightInd w:val="0"/>
              <w:snapToGrid w:val="0"/>
              <w:spacing w:line="360" w:lineRule="auto"/>
              <w:jc w:val="center"/>
              <w:rPr>
                <w:rFonts w:ascii="Times New Roman" w:hAnsi="Times New Roman"/>
                <w:b/>
                <w:bCs/>
                <w:color w:val="000000" w:themeColor="text1"/>
                <w:kern w:val="24"/>
                <w:sz w:val="24"/>
                <w14:textFill>
                  <w14:solidFill>
                    <w14:schemeClr w14:val="tx1"/>
                  </w14:solidFill>
                </w14:textFill>
              </w:rPr>
            </w:pPr>
            <w:r>
              <w:rPr>
                <w:rFonts w:ascii="Times New Roman" w:hAnsi="Times New Roman"/>
                <w:b/>
                <w:bCs/>
                <w:color w:val="000000" w:themeColor="text1"/>
                <w:kern w:val="24"/>
                <w:sz w:val="24"/>
                <w14:textFill>
                  <w14:solidFill>
                    <w14:schemeClr w14:val="tx1"/>
                  </w14:solidFill>
                </w14:textFill>
              </w:rPr>
              <w:t>0.</w:t>
            </w:r>
            <w:r>
              <w:rPr>
                <w:rFonts w:hint="eastAsia" w:ascii="Times New Roman" w:hAnsi="Times New Roman"/>
                <w:b/>
                <w:bCs/>
                <w:color w:val="000000" w:themeColor="text1"/>
                <w:kern w:val="24"/>
                <w:sz w:val="24"/>
                <w14:textFill>
                  <w14:solidFill>
                    <w14:schemeClr w14:val="tx1"/>
                  </w14:solidFill>
                </w14:textFill>
              </w:rPr>
              <w:t>0744</w:t>
            </w:r>
          </w:p>
        </w:tc>
        <w:tc>
          <w:tcPr>
            <w:tcW w:w="779" w:type="pct"/>
            <w:tcBorders>
              <w:bottom w:val="single" w:color="auto" w:sz="12" w:space="0"/>
            </w:tcBorders>
          </w:tcPr>
          <w:p w14:paraId="12441EC1">
            <w:pPr>
              <w:adjustRightInd w:val="0"/>
              <w:snapToGrid w:val="0"/>
              <w:spacing w:line="360" w:lineRule="auto"/>
              <w:jc w:val="center"/>
              <w:rPr>
                <w:rFonts w:ascii="Times New Roman" w:hAnsi="Times New Roman"/>
                <w:color w:val="000000" w:themeColor="text1"/>
                <w:kern w:val="24"/>
                <w:sz w:val="24"/>
                <w14:textFill>
                  <w14:solidFill>
                    <w14:schemeClr w14:val="tx1"/>
                  </w14:solidFill>
                </w14:textFill>
              </w:rPr>
            </w:pPr>
            <w:r>
              <w:rPr>
                <w:rFonts w:ascii="Times New Roman" w:hAnsi="Times New Roman"/>
                <w:color w:val="000000" w:themeColor="text1"/>
                <w:kern w:val="24"/>
                <w:sz w:val="24"/>
                <w14:textFill>
                  <w14:solidFill>
                    <w14:schemeClr w14:val="tx1"/>
                  </w14:solidFill>
                </w14:textFill>
              </w:rPr>
              <w:t>0.3</w:t>
            </w:r>
            <w:r>
              <w:rPr>
                <w:rFonts w:hint="eastAsia" w:ascii="Times New Roman" w:hAnsi="Times New Roman"/>
                <w:color w:val="000000" w:themeColor="text1"/>
                <w:kern w:val="24"/>
                <w:sz w:val="24"/>
                <w14:textFill>
                  <w14:solidFill>
                    <w14:schemeClr w14:val="tx1"/>
                  </w14:solidFill>
                </w14:textFill>
              </w:rPr>
              <w:t>437</w:t>
            </w:r>
            <w:r>
              <w:rPr>
                <w:rFonts w:ascii="Times New Roman" w:hAnsi="Times New Roman"/>
                <w:color w:val="000000" w:themeColor="text1"/>
                <w:kern w:val="24"/>
                <w:sz w:val="24"/>
                <w14:textFill>
                  <w14:solidFill>
                    <w14:schemeClr w14:val="tx1"/>
                  </w14:solidFill>
                </w14:textFill>
              </w:rPr>
              <w:t xml:space="preserve"> </w:t>
            </w:r>
          </w:p>
        </w:tc>
      </w:tr>
    </w:tbl>
    <w:p w14:paraId="3EDB3480">
      <w:pPr>
        <w:autoSpaceDE w:val="0"/>
        <w:autoSpaceDN w:val="0"/>
        <w:adjustRightInd w:val="0"/>
        <w:spacing w:before="120" w:line="360" w:lineRule="auto"/>
        <w:rPr>
          <w:rFonts w:ascii="Times New Roman" w:hAnsi="Times New Roman"/>
          <w:sz w:val="24"/>
        </w:rPr>
      </w:pPr>
      <w:r>
        <w:rPr>
          <w:rFonts w:hint="eastAsia" w:ascii="Times New Roman" w:hAnsi="Times New Roman"/>
          <w:sz w:val="24"/>
        </w:rPr>
        <w:t>息也会导致结果不同。而在</w:t>
      </w:r>
      <w:r>
        <w:rPr>
          <w:rFonts w:ascii="Times New Roman" w:hAnsi="Times New Roman"/>
          <w:sz w:val="24"/>
        </w:rPr>
        <w:t>ExSeq</w:t>
      </w:r>
      <w:r>
        <w:rPr>
          <w:rFonts w:hint="eastAsia" w:ascii="Times New Roman" w:hAnsi="Times New Roman"/>
          <w:sz w:val="24"/>
        </w:rPr>
        <w:t>数据集中，JSD指标有所提升，证明在少数基因特征的情况下，GCIRS的表现最好，然而在基因特征较多的情况下，Tangram和SpatialDWLS可以更好的实现数据映射，所以JSD指标更好。</w:t>
      </w:r>
    </w:p>
    <w:p w14:paraId="7A79DB2D">
      <w:pPr>
        <w:pStyle w:val="4"/>
        <w:spacing w:before="120" w:after="120" w:line="300" w:lineRule="auto"/>
        <w:jc w:val="left"/>
        <w:rPr>
          <w:rFonts w:hint="eastAsia" w:ascii="宋体" w:hAnsi="宋体" w:eastAsia="宋体"/>
        </w:rPr>
      </w:pPr>
      <w:bookmarkStart w:id="28" w:name="OLE_LINK69"/>
      <w:r>
        <w:rPr>
          <w:rFonts w:ascii="宋体" w:hAnsi="宋体" w:eastAsia="宋体" w:cs="宋体"/>
          <w:b w:val="0"/>
          <w:bCs w:val="0"/>
          <w:sz w:val="24"/>
          <w:szCs w:val="24"/>
          <w:lang w:bidi="ar"/>
        </w:rPr>
        <w:t>3.2.1.</w:t>
      </w:r>
      <w:r>
        <w:rPr>
          <w:rFonts w:hint="eastAsia" w:ascii="宋体" w:hAnsi="宋体" w:eastAsia="宋体" w:cs="宋体"/>
          <w:b w:val="0"/>
          <w:bCs w:val="0"/>
          <w:sz w:val="24"/>
          <w:szCs w:val="24"/>
          <w:lang w:bidi="ar"/>
        </w:rPr>
        <w:t xml:space="preserve">5 </w:t>
      </w:r>
      <w:r>
        <w:rPr>
          <w:rFonts w:ascii="Times New Roman" w:hAnsi="Times New Roman" w:eastAsia="宋体"/>
          <w:b w:val="0"/>
          <w:bCs w:val="0"/>
          <w:sz w:val="24"/>
          <w:szCs w:val="24"/>
          <w:lang w:bidi="ar"/>
        </w:rPr>
        <w:t>GCIRS</w:t>
      </w:r>
      <w:r>
        <w:rPr>
          <w:rFonts w:hint="eastAsia" w:ascii="宋体" w:hAnsi="宋体" w:eastAsia="宋体" w:cs="宋体"/>
          <w:b w:val="0"/>
          <w:bCs w:val="0"/>
          <w:sz w:val="24"/>
          <w:szCs w:val="24"/>
          <w:lang w:bidi="ar"/>
        </w:rPr>
        <w:t>揭示小鼠大脑皮层的层状结构</w:t>
      </w:r>
      <w:bookmarkEnd w:id="28"/>
    </w:p>
    <w:p w14:paraId="1A6FD9F1">
      <w:pPr>
        <w:spacing w:line="360" w:lineRule="auto"/>
        <w:ind w:firstLine="480" w:firstLineChars="200"/>
        <w:rPr>
          <w:rFonts w:ascii="Times New Roman" w:hAnsi="Times New Roman"/>
          <w:sz w:val="24"/>
          <w:szCs w:val="32"/>
        </w:rPr>
      </w:pPr>
      <w:bookmarkStart w:id="29" w:name="OLE_LINK64"/>
      <w:r>
        <w:rPr>
          <w:rFonts w:hint="eastAsia" w:ascii="Times New Roman" w:hAnsi="Times New Roman"/>
          <w:sz w:val="24"/>
          <w:szCs w:val="32"/>
        </w:rPr>
        <w:t>为了进一步验证GCIRS在不同测序平台上的有效性，本课题将其应用于 10X Visium 技术生成的数据集，结果表明，GCIRS在揭示大脑皮层细胞类型和层次结构具有一定的准确性。</w:t>
      </w:r>
    </w:p>
    <w:p w14:paraId="2FDA54E5">
      <w:pPr>
        <w:spacing w:line="360" w:lineRule="auto"/>
        <w:ind w:firstLine="480" w:firstLineChars="200"/>
        <w:rPr>
          <w:rFonts w:ascii="Times New Roman" w:hAnsi="Times New Roman"/>
          <w:sz w:val="24"/>
          <w:szCs w:val="32"/>
        </w:rPr>
      </w:pPr>
      <w:r>
        <w:rPr>
          <w:rFonts w:hint="eastAsia" w:ascii="Times New Roman" w:hAnsi="Times New Roman"/>
          <w:sz w:val="24"/>
          <w:szCs w:val="32"/>
        </w:rPr>
        <w:t>大脑皮层具有清晰的层状结构，所以本课题采用了小鼠大脑皮层的切片。该切片包含 2696个spot，每个spot覆盖31053个基因。此外，使用了包含 28 种不同细胞亚型的高质量scRNA-seq 数据集作为参考。</w:t>
      </w:r>
    </w:p>
    <w:p w14:paraId="65F79F4B">
      <w:pPr>
        <w:spacing w:line="360" w:lineRule="auto"/>
        <w:ind w:firstLine="480" w:firstLineChars="200"/>
        <w:rPr>
          <w:rFonts w:ascii="Times New Roman" w:hAnsi="Times New Roman"/>
          <w:sz w:val="24"/>
          <w:szCs w:val="32"/>
        </w:rPr>
      </w:pPr>
      <w:r>
        <w:rPr>
          <w:rFonts w:ascii="Times New Roman" w:hAnsi="Times New Roman"/>
          <w:sz w:val="24"/>
          <w:szCs w:val="32"/>
        </w:rPr>
        <w:t>首先，</w:t>
      </w:r>
      <w:r>
        <w:rPr>
          <w:rFonts w:hint="eastAsia" w:ascii="Times New Roman" w:hAnsi="Times New Roman"/>
          <w:sz w:val="24"/>
          <w:szCs w:val="32"/>
        </w:rPr>
        <w:t>GCIRS推断</w:t>
      </w:r>
      <w:r>
        <w:rPr>
          <w:rFonts w:ascii="Times New Roman" w:hAnsi="Times New Roman"/>
          <w:sz w:val="24"/>
          <w:szCs w:val="32"/>
        </w:rPr>
        <w:t>了数据集中不同细胞类型的空间分布</w:t>
      </w:r>
      <w:r>
        <w:rPr>
          <w:rFonts w:hint="eastAsia" w:ascii="Times New Roman" w:hAnsi="Times New Roman"/>
          <w:sz w:val="24"/>
          <w:szCs w:val="32"/>
        </w:rPr>
        <w:t>，结果</w:t>
      </w:r>
      <w:r>
        <w:rPr>
          <w:rFonts w:ascii="Times New Roman" w:hAnsi="Times New Roman"/>
          <w:sz w:val="24"/>
          <w:szCs w:val="32"/>
        </w:rPr>
        <w:t>如图</w:t>
      </w:r>
      <w:r>
        <w:rPr>
          <w:rFonts w:hint="eastAsia" w:ascii="Times New Roman" w:hAnsi="Times New Roman"/>
          <w:sz w:val="24"/>
          <w:szCs w:val="32"/>
        </w:rPr>
        <w:t>2</w:t>
      </w:r>
      <w:r>
        <w:rPr>
          <w:rFonts w:ascii="Times New Roman" w:hAnsi="Times New Roman"/>
          <w:sz w:val="24"/>
          <w:szCs w:val="32"/>
        </w:rPr>
        <w:t>所示</w:t>
      </w:r>
      <w:r>
        <w:rPr>
          <w:rFonts w:hint="eastAsia" w:ascii="Times New Roman" w:hAnsi="Times New Roman"/>
          <w:sz w:val="24"/>
          <w:szCs w:val="32"/>
        </w:rPr>
        <w:t>。</w:t>
      </w:r>
      <w:bookmarkStart w:id="30" w:name="OLE_LINK66"/>
      <w:r>
        <w:rPr>
          <w:rFonts w:hint="eastAsia" w:ascii="Times New Roman" w:hAnsi="Times New Roman"/>
          <w:sz w:val="24"/>
          <w:szCs w:val="32"/>
        </w:rPr>
        <w:t>使用饼图表示了每个spot的异质细胞类型比例。在小鼠大脑组织中，可以观察到不同兴奋性神经元在特定的皮层中有空间受限表示，与以往的研究趋势结果一致。</w:t>
      </w:r>
      <w:r>
        <w:rPr>
          <w:rFonts w:ascii="Times New Roman" w:hAnsi="Times New Roman"/>
          <w:sz w:val="24"/>
          <w:szCs w:val="32"/>
        </w:rPr>
        <w:t xml:space="preserve"> </w:t>
      </w:r>
    </w:p>
    <w:p w14:paraId="67A6F2BC">
      <w:pPr>
        <w:spacing w:line="360" w:lineRule="auto"/>
        <w:ind w:firstLine="480" w:firstLineChars="200"/>
        <w:rPr>
          <w:rFonts w:ascii="Times New Roman" w:hAnsi="Times New Roman"/>
          <w:sz w:val="24"/>
          <w:szCs w:val="32"/>
        </w:rPr>
      </w:pPr>
      <w:r>
        <w:rPr>
          <w:rFonts w:hint="eastAsia" w:ascii="Times New Roman" w:hAnsi="Times New Roman"/>
          <w:sz w:val="24"/>
          <w:szCs w:val="32"/>
        </w:rPr>
        <w:t>此外，GCIRS提供了小鼠大脑每个区域的异质性信息，具体表现为，每个区域中每种细胞类型的富集与其确定的比例相关，例如，L2/3亚组富集在皮层的外部区域，</w:t>
      </w:r>
      <w:r>
        <w:rPr>
          <w:rFonts w:ascii="Times New Roman" w:hAnsi="Times New Roman"/>
          <w:sz w:val="24"/>
          <w:szCs w:val="32"/>
        </w:rPr>
        <w:t>L4 和 L5 等细胞类型主要位于皮层的外部和中间区域</w:t>
      </w:r>
      <w:r>
        <w:rPr>
          <w:rFonts w:hint="eastAsia" w:ascii="Times New Roman" w:hAnsi="Times New Roman"/>
          <w:sz w:val="24"/>
          <w:szCs w:val="32"/>
        </w:rPr>
        <w:t>，而包含L6b细胞比例较高的spot则表现在内皮层，这些发现结果与皮质组织的层状细胞结构一致。</w:t>
      </w:r>
    </w:p>
    <w:p w14:paraId="4D908BA7">
      <w:pPr>
        <w:spacing w:line="360" w:lineRule="auto"/>
        <w:jc w:val="center"/>
        <w:rPr>
          <w:rFonts w:ascii="Times New Roman" w:hAnsi="Times New Roman"/>
          <w:sz w:val="24"/>
          <w:szCs w:val="32"/>
        </w:rPr>
      </w:pPr>
      <w:r>
        <w:rPr>
          <w:rFonts w:hint="eastAsia" w:ascii="Times New Roman" w:hAnsi="Times New Roman"/>
          <w:sz w:val="24"/>
          <w:szCs w:val="32"/>
        </w:rPr>
        <w:drawing>
          <wp:inline distT="0" distB="0" distL="0" distR="0">
            <wp:extent cx="5057775" cy="4180840"/>
            <wp:effectExtent l="0" t="0" r="0" b="0"/>
            <wp:docPr id="20120134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13494" name="图片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060762" cy="4183409"/>
                    </a:xfrm>
                    <a:prstGeom prst="rect">
                      <a:avLst/>
                    </a:prstGeom>
                  </pic:spPr>
                </pic:pic>
              </a:graphicData>
            </a:graphic>
          </wp:inline>
        </w:drawing>
      </w:r>
    </w:p>
    <w:p w14:paraId="5D476525">
      <w:pPr>
        <w:spacing w:line="360" w:lineRule="auto"/>
        <w:jc w:val="left"/>
        <w:rPr>
          <w:rFonts w:ascii="Times New Roman" w:hAnsi="Times New Roman"/>
          <w:szCs w:val="21"/>
        </w:rPr>
      </w:pPr>
      <w:r>
        <w:rPr>
          <w:rFonts w:hint="eastAsia" w:ascii="Times New Roman" w:hAnsi="Times New Roman"/>
          <w:szCs w:val="21"/>
        </w:rPr>
        <w:t>图2 使用GCIRS分析小鼠大脑皮层组织。A：小鼠脑组织切片的图像。B：表示每个spot的细胞类型组成的饼图。C：GCIRS预测的6个层特异性神经元群的空间分布。</w:t>
      </w:r>
    </w:p>
    <w:p w14:paraId="0ABB051F">
      <w:pPr>
        <w:spacing w:line="360" w:lineRule="auto"/>
        <w:ind w:firstLine="480" w:firstLineChars="200"/>
        <w:rPr>
          <w:rFonts w:ascii="Times New Roman" w:hAnsi="Times New Roman"/>
          <w:sz w:val="24"/>
          <w:szCs w:val="32"/>
        </w:rPr>
      </w:pPr>
      <w:r>
        <w:rPr>
          <w:rFonts w:hint="eastAsia" w:ascii="Times New Roman" w:hAnsi="Times New Roman"/>
          <w:sz w:val="24"/>
          <w:szCs w:val="32"/>
        </w:rPr>
        <w:t>综上所述，通过对小鼠大脑皮层数据的分析，</w:t>
      </w:r>
      <w:r>
        <w:rPr>
          <w:rFonts w:ascii="Times New Roman" w:hAnsi="Times New Roman"/>
          <w:sz w:val="24"/>
          <w:szCs w:val="32"/>
        </w:rPr>
        <w:t>证明了</w:t>
      </w:r>
      <w:r>
        <w:rPr>
          <w:rFonts w:hint="eastAsia" w:ascii="Times New Roman" w:hAnsi="Times New Roman"/>
          <w:sz w:val="24"/>
          <w:szCs w:val="32"/>
        </w:rPr>
        <w:t>GCIRS</w:t>
      </w:r>
      <w:r>
        <w:rPr>
          <w:rFonts w:ascii="Times New Roman" w:hAnsi="Times New Roman"/>
          <w:sz w:val="24"/>
          <w:szCs w:val="32"/>
        </w:rPr>
        <w:t>在分析</w:t>
      </w:r>
      <w:r>
        <w:rPr>
          <w:rFonts w:hint="eastAsia" w:ascii="Times New Roman" w:hAnsi="Times New Roman"/>
          <w:sz w:val="24"/>
          <w:szCs w:val="32"/>
        </w:rPr>
        <w:t>空间转录组学</w:t>
      </w:r>
      <w:r>
        <w:rPr>
          <w:rFonts w:ascii="Times New Roman" w:hAnsi="Times New Roman"/>
          <w:sz w:val="24"/>
          <w:szCs w:val="32"/>
        </w:rPr>
        <w:t>数据方面的优越性，因为它不仅准确地重建了细胞的空间分布，还为后续的功能分析提供了坚实的基础</w:t>
      </w:r>
      <w:bookmarkEnd w:id="30"/>
      <w:bookmarkStart w:id="31" w:name="OLE_LINK67"/>
      <w:r>
        <w:rPr>
          <w:rFonts w:hint="eastAsia" w:ascii="Times New Roman" w:hAnsi="Times New Roman"/>
          <w:sz w:val="24"/>
          <w:szCs w:val="32"/>
        </w:rPr>
        <w:t>。</w:t>
      </w:r>
    </w:p>
    <w:p w14:paraId="1871BECB">
      <w:pPr>
        <w:pStyle w:val="4"/>
        <w:spacing w:before="120" w:after="120" w:line="300" w:lineRule="auto"/>
        <w:jc w:val="left"/>
        <w:rPr>
          <w:rFonts w:hint="eastAsia" w:ascii="宋体" w:hAnsi="宋体" w:eastAsia="宋体"/>
        </w:rPr>
      </w:pPr>
      <w:r>
        <w:rPr>
          <w:rFonts w:ascii="宋体" w:hAnsi="宋体" w:eastAsia="宋体" w:cs="宋体"/>
          <w:b w:val="0"/>
          <w:bCs w:val="0"/>
          <w:sz w:val="24"/>
          <w:szCs w:val="24"/>
          <w:lang w:bidi="ar"/>
        </w:rPr>
        <w:t>3.2.1.</w:t>
      </w:r>
      <w:r>
        <w:rPr>
          <w:rFonts w:hint="eastAsia" w:ascii="宋体" w:hAnsi="宋体" w:eastAsia="宋体" w:cs="宋体"/>
          <w:b w:val="0"/>
          <w:bCs w:val="0"/>
          <w:sz w:val="24"/>
          <w:szCs w:val="24"/>
          <w:lang w:bidi="ar"/>
        </w:rPr>
        <w:t xml:space="preserve">6 </w:t>
      </w:r>
      <w:r>
        <w:rPr>
          <w:rFonts w:ascii="Times New Roman" w:hAnsi="Times New Roman" w:eastAsia="宋体"/>
          <w:b w:val="0"/>
          <w:bCs w:val="0"/>
          <w:sz w:val="24"/>
          <w:szCs w:val="24"/>
          <w:lang w:bidi="ar"/>
        </w:rPr>
        <w:t>GCIRS</w:t>
      </w:r>
      <w:r>
        <w:rPr>
          <w:rFonts w:hint="eastAsia" w:ascii="宋体" w:hAnsi="宋体" w:eastAsia="宋体" w:cs="宋体"/>
          <w:b w:val="0"/>
          <w:bCs w:val="0"/>
          <w:sz w:val="24"/>
          <w:szCs w:val="24"/>
          <w:lang w:bidi="ar"/>
        </w:rPr>
        <w:t>表征</w:t>
      </w:r>
      <w:bookmarkStart w:id="32" w:name="OLE_LINK9"/>
      <w:r>
        <w:rPr>
          <w:rFonts w:hint="eastAsia" w:ascii="宋体" w:hAnsi="宋体" w:eastAsia="宋体" w:cs="宋体"/>
          <w:b w:val="0"/>
          <w:bCs w:val="0"/>
          <w:sz w:val="24"/>
          <w:szCs w:val="24"/>
          <w:lang w:bidi="ar"/>
        </w:rPr>
        <w:t>人胰腺导管腺癌</w:t>
      </w:r>
      <w:bookmarkEnd w:id="32"/>
      <w:r>
        <w:rPr>
          <w:rFonts w:hint="eastAsia" w:ascii="宋体" w:hAnsi="宋体" w:eastAsia="宋体" w:cs="宋体"/>
          <w:b w:val="0"/>
          <w:bCs w:val="0"/>
          <w:sz w:val="24"/>
          <w:szCs w:val="24"/>
          <w:lang w:bidi="ar"/>
        </w:rPr>
        <w:t>中肿瘤细胞的分布</w:t>
      </w:r>
    </w:p>
    <w:p w14:paraId="383FB64F">
      <w:pPr>
        <w:spacing w:line="360" w:lineRule="auto"/>
        <w:ind w:firstLine="480" w:firstLineChars="200"/>
        <w:rPr>
          <w:rFonts w:ascii="Times New Roman" w:hAnsi="Times New Roman"/>
          <w:sz w:val="24"/>
          <w:szCs w:val="32"/>
        </w:rPr>
      </w:pPr>
      <w:r>
        <w:rPr>
          <w:rFonts w:hint="eastAsia" w:ascii="Times New Roman" w:hAnsi="Times New Roman"/>
          <w:sz w:val="24"/>
          <w:szCs w:val="32"/>
        </w:rPr>
        <w:t>为了评估GCIRS在真实空间转录组学数据的性能，本课题将其应用于ST技术生成的人胰腺导管腺癌数据集，结果表明GCIRS预测的细胞类型和空间分布符合以往研究中人胰腺导管腺癌组织中细胞的分布趋势。</w:t>
      </w:r>
    </w:p>
    <w:p w14:paraId="792A4203">
      <w:pPr>
        <w:spacing w:line="360" w:lineRule="auto"/>
        <w:ind w:firstLine="480" w:firstLineChars="200"/>
        <w:rPr>
          <w:rFonts w:ascii="Times New Roman" w:hAnsi="Times New Roman"/>
          <w:sz w:val="24"/>
          <w:szCs w:val="32"/>
        </w:rPr>
      </w:pPr>
      <w:r>
        <w:rPr>
          <w:rFonts w:hint="eastAsia" w:ascii="Times New Roman" w:hAnsi="Times New Roman"/>
          <w:sz w:val="24"/>
          <w:szCs w:val="32"/>
        </w:rPr>
        <w:t>该数据集组织有四个主要区域：癌症、导管上皮、基质和胰腺。如图3所示，利用scRNA-seq数据作为参考，绘制了人胰腺导管腺癌组织的空间分布模式图。</w:t>
      </w:r>
    </w:p>
    <w:p w14:paraId="1FD35CE0">
      <w:pPr>
        <w:spacing w:line="360" w:lineRule="auto"/>
        <w:jc w:val="center"/>
        <w:rPr>
          <w:rFonts w:ascii="Times New Roman" w:hAnsi="Times New Roman"/>
          <w:sz w:val="24"/>
          <w:szCs w:val="32"/>
        </w:rPr>
      </w:pPr>
      <w:r>
        <w:rPr>
          <w:rFonts w:ascii="Times New Roman" w:hAnsi="Times New Roman"/>
          <w:sz w:val="24"/>
          <w:szCs w:val="32"/>
        </w:rPr>
        <w:drawing>
          <wp:inline distT="0" distB="0" distL="0" distR="0">
            <wp:extent cx="4992370" cy="6350000"/>
            <wp:effectExtent l="0" t="0" r="0" b="0"/>
            <wp:docPr id="4275496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49649" name="图片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995211" cy="6353990"/>
                    </a:xfrm>
                    <a:prstGeom prst="rect">
                      <a:avLst/>
                    </a:prstGeom>
                  </pic:spPr>
                </pic:pic>
              </a:graphicData>
            </a:graphic>
          </wp:inline>
        </w:drawing>
      </w:r>
    </w:p>
    <w:p w14:paraId="41059F91">
      <w:pPr>
        <w:spacing w:line="360" w:lineRule="auto"/>
        <w:rPr>
          <w:rFonts w:ascii="Times New Roman" w:hAnsi="Times New Roman"/>
          <w:szCs w:val="21"/>
        </w:rPr>
      </w:pPr>
      <w:r>
        <w:rPr>
          <w:rFonts w:hint="eastAsia" w:ascii="Times New Roman" w:hAnsi="Times New Roman"/>
          <w:szCs w:val="21"/>
        </w:rPr>
        <w:t>图3 使用GCIRS分析人胰腺导管腺癌。A：人胰腺导管腺癌数据集的手动注释。B：表示每个spot的细胞类型组成的饼图。C：顶部：GCIRS预测的特定细胞类型的比例。下图：这些细胞类型的相应标记基因的空间分布。D：基于GCIRS推断的细胞类型比例的空间区域聚类结果。E：癌变区域与非癌性区域四种细胞类型丰度的比较分析</w:t>
      </w:r>
      <w:r>
        <w:rPr>
          <w:rFonts w:ascii="Times New Roman" w:hAnsi="Times New Roman"/>
          <w:szCs w:val="21"/>
        </w:rPr>
        <w:t xml:space="preserve"> </w:t>
      </w:r>
    </w:p>
    <w:p w14:paraId="658119C5">
      <w:pPr>
        <w:spacing w:line="360" w:lineRule="auto"/>
        <w:rPr>
          <w:rFonts w:ascii="Times New Roman" w:hAnsi="Times New Roman"/>
          <w:szCs w:val="21"/>
        </w:rPr>
      </w:pPr>
    </w:p>
    <w:p w14:paraId="316959AE">
      <w:pPr>
        <w:spacing w:line="360" w:lineRule="auto"/>
        <w:ind w:firstLine="480" w:firstLineChars="200"/>
        <w:rPr>
          <w:rFonts w:ascii="Times New Roman" w:hAnsi="Times New Roman"/>
          <w:sz w:val="24"/>
        </w:rPr>
      </w:pPr>
      <w:r>
        <w:rPr>
          <w:rFonts w:hint="eastAsia" w:ascii="Times New Roman" w:hAnsi="Times New Roman"/>
          <w:sz w:val="24"/>
          <w:szCs w:val="32"/>
        </w:rPr>
        <w:t>图3B饼图显示了每个spot的细胞组成比例，GCIRS预测了导管细胞主要位于该部分的左侧，而癌细胞主要位于右上角，这与基本事实一致。值得注意的是，巨噬细胞极少数分布在癌细胞附近，这种分布与之前观察到的巨噬细胞在肿瘤周围形成空间屏障一致，而且会诱导上皮-间质转化程序促进细胞侵蚀，增强调节T细胞的反应，从而保护肿瘤细胞免受CD8+T细胞的攻击。肿瘤相关巨噬细胞的这种空间异质性会影响肿瘤的免疫监视和免疫逃逸策略，为未来</w:t>
      </w:r>
      <w:r>
        <w:rPr>
          <w:rFonts w:ascii="Times New Roman" w:hAnsi="Times New Roman"/>
          <w:sz w:val="24"/>
        </w:rPr>
        <w:t>胰腺导管腺癌</w:t>
      </w:r>
      <w:r>
        <w:rPr>
          <w:rFonts w:hint="eastAsia" w:ascii="Times New Roman" w:hAnsi="Times New Roman"/>
          <w:sz w:val="24"/>
        </w:rPr>
        <w:t>的治疗策略提高了信息。</w:t>
      </w:r>
    </w:p>
    <w:p w14:paraId="7BB4EEC8">
      <w:pPr>
        <w:spacing w:line="360" w:lineRule="auto"/>
        <w:ind w:firstLine="480" w:firstLineChars="200"/>
        <w:rPr>
          <w:rFonts w:ascii="Times New Roman" w:hAnsi="Times New Roman"/>
          <w:sz w:val="24"/>
        </w:rPr>
      </w:pPr>
      <w:r>
        <w:rPr>
          <w:rFonts w:hint="eastAsia" w:ascii="Times New Roman" w:hAnsi="Times New Roman"/>
          <w:sz w:val="24"/>
        </w:rPr>
        <w:t>此外，观察到GCIRS鉴别的细胞类型的空间分布与标记基因的空间表达模式非常匹配，例如，图3C中富含癌细胞的标志物基因TM4SF1和S100A4的区域与癌克隆A和B的分布一致，CRISP3是一种富含半胱氨酸的分泌蛋白。同样，腺泡细胞主要位于胰腺区域，对应于其标记基因 PRSS1 的空间表达。此外，GCIRS准确识别不同区域癌细胞的丰度。在图3E，癌变区域癌症克隆 A 和 B 的富集度显著高于其他区域。相比之下，癌变区域其他细胞类型的富集，例如表达 APOL1 的导管上皮细胞和成纤维细胞，与其他区域的富集没有显着差异。</w:t>
      </w:r>
    </w:p>
    <w:p w14:paraId="7CDFAE56">
      <w:pPr>
        <w:spacing w:line="360" w:lineRule="auto"/>
        <w:ind w:firstLine="480" w:firstLineChars="200"/>
        <w:rPr>
          <w:rFonts w:ascii="Times New Roman" w:hAnsi="Times New Roman"/>
          <w:sz w:val="24"/>
        </w:rPr>
      </w:pPr>
      <w:r>
        <w:rPr>
          <w:rFonts w:hint="eastAsia" w:ascii="Times New Roman" w:hAnsi="Times New Roman"/>
          <w:sz w:val="24"/>
        </w:rPr>
        <w:t>为了评估空间细胞组成推断的准确性，在图3D中将推断的细胞组成进行了聚类，结果显示与原始聚类结果图3A趋势一致，进一步证明了GCIRS方法的准确性。</w:t>
      </w:r>
    </w:p>
    <w:bookmarkEnd w:id="29"/>
    <w:bookmarkEnd w:id="31"/>
    <w:p w14:paraId="43C01C2D">
      <w:pPr>
        <w:keepNext/>
        <w:keepLines/>
        <w:spacing w:before="120" w:after="120" w:line="300" w:lineRule="auto"/>
        <w:outlineLvl w:val="2"/>
        <w:rPr>
          <w:rFonts w:hint="eastAsia" w:ascii="宋体" w:hAnsi="宋体"/>
          <w:b/>
          <w:bCs/>
          <w:sz w:val="28"/>
          <w:szCs w:val="28"/>
        </w:rPr>
      </w:pPr>
      <w:r>
        <w:rPr>
          <w:rFonts w:hint="eastAsia" w:ascii="宋体" w:hAnsi="宋体"/>
          <w:b/>
          <w:bCs/>
          <w:sz w:val="28"/>
          <w:szCs w:val="28"/>
        </w:rPr>
        <w:t>3</w:t>
      </w:r>
      <w:r>
        <w:rPr>
          <w:rFonts w:ascii="宋体" w:hAnsi="宋体"/>
          <w:b/>
          <w:bCs/>
          <w:sz w:val="28"/>
          <w:szCs w:val="28"/>
        </w:rPr>
        <w:t>.2.</w:t>
      </w:r>
      <w:r>
        <w:rPr>
          <w:rFonts w:hint="eastAsia" w:ascii="宋体" w:hAnsi="宋体"/>
          <w:b/>
          <w:bCs/>
          <w:sz w:val="28"/>
          <w:szCs w:val="28"/>
        </w:rPr>
        <w:t>2课题阶段性成果</w:t>
      </w:r>
    </w:p>
    <w:p w14:paraId="3C05C0BE">
      <w:pPr>
        <w:spacing w:line="360" w:lineRule="auto"/>
        <w:rPr>
          <w:sz w:val="24"/>
          <w:szCs w:val="32"/>
        </w:rPr>
      </w:pPr>
      <w:r>
        <w:tab/>
      </w:r>
      <w:bookmarkStart w:id="33" w:name="OLE_LINK65"/>
      <w:r>
        <w:rPr>
          <w:rFonts w:hint="eastAsia" w:ascii="Times New Roman" w:hAnsi="Times New Roman"/>
          <w:sz w:val="24"/>
          <w:szCs w:val="32"/>
        </w:rPr>
        <w:t>完成小论文</w:t>
      </w:r>
      <w:r>
        <w:rPr>
          <w:rFonts w:ascii="Times New Roman" w:hAnsi="Times New Roman"/>
          <w:sz w:val="24"/>
        </w:rPr>
        <w:t>《</w:t>
      </w:r>
      <w:bookmarkStart w:id="34" w:name="OLE_LINK6"/>
      <w:r>
        <w:rPr>
          <w:rFonts w:ascii="Times New Roman" w:hAnsi="Times New Roman"/>
          <w:sz w:val="24"/>
        </w:rPr>
        <w:t>Graph contrastive learning-based inference of spatial cell composition from integrated scRNA-seq and spatial transcriptomics data</w:t>
      </w:r>
      <w:bookmarkEnd w:id="34"/>
      <w:r>
        <w:rPr>
          <w:rFonts w:ascii="Times New Roman" w:hAnsi="Times New Roman"/>
          <w:sz w:val="24"/>
        </w:rPr>
        <w:t>》</w:t>
      </w:r>
      <w:r>
        <w:rPr>
          <w:rFonts w:hint="eastAsia" w:ascii="Times New Roman" w:hAnsi="Times New Roman"/>
          <w:sz w:val="24"/>
          <w:szCs w:val="32"/>
        </w:rPr>
        <w:t>，投稿至《Genome Biology》。</w:t>
      </w:r>
    </w:p>
    <w:bookmarkEnd w:id="33"/>
    <w:p w14:paraId="43BFFD0F">
      <w:pPr>
        <w:spacing w:line="360" w:lineRule="auto"/>
        <w:outlineLvl w:val="0"/>
        <w:rPr>
          <w:rFonts w:hint="eastAsia" w:ascii="黑体" w:hAnsi="黑体" w:eastAsia="黑体"/>
          <w:sz w:val="36"/>
          <w:szCs w:val="36"/>
        </w:rPr>
      </w:pPr>
      <w:r>
        <w:rPr>
          <w:rFonts w:ascii="黑体" w:hAnsi="黑体" w:eastAsia="黑体"/>
          <w:sz w:val="36"/>
          <w:szCs w:val="36"/>
        </w:rPr>
        <w:t>四、存在的主要问题和后续工作思路</w:t>
      </w:r>
    </w:p>
    <w:p w14:paraId="375BFF97">
      <w:pPr>
        <w:spacing w:before="240" w:after="240" w:line="360" w:lineRule="auto"/>
        <w:outlineLvl w:val="1"/>
        <w:rPr>
          <w:rFonts w:hint="eastAsia" w:ascii="黑体" w:hAnsi="黑体" w:eastAsia="黑体"/>
          <w:sz w:val="32"/>
          <w:szCs w:val="32"/>
        </w:rPr>
      </w:pPr>
      <w:r>
        <w:rPr>
          <w:rFonts w:ascii="黑体" w:hAnsi="黑体" w:eastAsia="黑体"/>
          <w:sz w:val="32"/>
          <w:szCs w:val="32"/>
        </w:rPr>
        <w:t>4.</w:t>
      </w:r>
      <w:r>
        <w:rPr>
          <w:rFonts w:hint="eastAsia" w:ascii="黑体" w:hAnsi="黑体" w:eastAsia="黑体"/>
          <w:sz w:val="32"/>
          <w:szCs w:val="32"/>
        </w:rPr>
        <w:t xml:space="preserve">1 </w:t>
      </w:r>
      <w:r>
        <w:rPr>
          <w:rFonts w:ascii="黑体" w:hAnsi="黑体" w:eastAsia="黑体"/>
          <w:sz w:val="32"/>
          <w:szCs w:val="32"/>
        </w:rPr>
        <w:t>研究中存在的主要问题</w:t>
      </w:r>
    </w:p>
    <w:p w14:paraId="5F692735">
      <w:pPr>
        <w:spacing w:line="360" w:lineRule="auto"/>
        <w:rPr>
          <w:rFonts w:ascii="Times New Roman" w:hAnsi="Times New Roman"/>
          <w:sz w:val="24"/>
        </w:rPr>
      </w:pPr>
      <w:r>
        <w:tab/>
      </w:r>
      <w:r>
        <w:rPr>
          <w:rFonts w:hint="eastAsia" w:ascii="Times New Roman" w:hAnsi="Times New Roman"/>
          <w:sz w:val="24"/>
        </w:rPr>
        <w:t>在空间转录组学数中还可能存在许多稀有细胞，但是本课题在预处理和构图时，都更偏向于选择数量较多的细胞以进行细胞组成预测的参考信息，一些有价值的稀有细胞可能无法被发现，没有充分获取其潜在信息，后续还需要用其他方式保留细胞的特异性信息。</w:t>
      </w:r>
    </w:p>
    <w:p w14:paraId="601216E9">
      <w:pPr>
        <w:spacing w:before="240" w:after="240" w:line="360" w:lineRule="auto"/>
        <w:outlineLvl w:val="1"/>
        <w:rPr>
          <w:rFonts w:hint="eastAsia" w:ascii="黑体" w:hAnsi="黑体" w:eastAsia="黑体"/>
          <w:sz w:val="32"/>
          <w:szCs w:val="32"/>
        </w:rPr>
      </w:pPr>
      <w:r>
        <w:rPr>
          <w:rFonts w:ascii="黑体" w:hAnsi="黑体" w:eastAsia="黑体"/>
          <w:sz w:val="32"/>
          <w:szCs w:val="32"/>
        </w:rPr>
        <w:t>4.2</w:t>
      </w:r>
      <w:r>
        <w:rPr>
          <w:rFonts w:hint="eastAsia" w:ascii="黑体" w:hAnsi="黑体" w:eastAsia="黑体"/>
          <w:sz w:val="32"/>
          <w:szCs w:val="32"/>
        </w:rPr>
        <w:t xml:space="preserve"> </w:t>
      </w:r>
      <w:r>
        <w:rPr>
          <w:rFonts w:ascii="黑体" w:hAnsi="黑体" w:eastAsia="黑体"/>
          <w:sz w:val="32"/>
          <w:szCs w:val="32"/>
        </w:rPr>
        <w:t>后续工作思路</w:t>
      </w:r>
    </w:p>
    <w:p w14:paraId="3105CFBF">
      <w:pPr>
        <w:spacing w:line="360" w:lineRule="auto"/>
        <w:ind w:firstLine="480" w:firstLineChars="200"/>
        <w:rPr>
          <w:rFonts w:ascii="Times New Roman" w:hAnsi="Times New Roman"/>
          <w:sz w:val="24"/>
        </w:rPr>
      </w:pPr>
      <w:r>
        <w:rPr>
          <w:rFonts w:hint="eastAsia" w:ascii="Times New Roman" w:hAnsi="Times New Roman"/>
          <w:sz w:val="24"/>
        </w:rPr>
        <w:t>后续工作会考虑能够保留数据更多的稀有信息的方法，挖掘出细胞的特异性特征，根据稀有细胞的特异性信息，预测出spot中存在数量少，但是有价值的细胞。在构造图时，虽然选取了中间节点挖掘了更多的潜在信息，但是这种只根据特征信息的构图方式，并不能保证所有潜在信息特别是特异性信息的挖掘，所以还需要加入更多的关系特征以构造出保留多样化信息的图，增强图的特征表示能力，提高细胞组成预测的精度。</w:t>
      </w:r>
    </w:p>
    <w:p w14:paraId="46FFA9D4">
      <w:pPr>
        <w:spacing w:line="360" w:lineRule="auto"/>
        <w:outlineLvl w:val="0"/>
        <w:rPr>
          <w:rFonts w:hint="eastAsia" w:ascii="黑体" w:hAnsi="黑体" w:eastAsia="黑体"/>
          <w:sz w:val="36"/>
          <w:szCs w:val="36"/>
        </w:rPr>
      </w:pPr>
      <w:r>
        <w:rPr>
          <w:rFonts w:ascii="黑体" w:hAnsi="黑体" w:eastAsia="黑体"/>
          <w:sz w:val="36"/>
          <w:szCs w:val="36"/>
        </w:rPr>
        <w:t>五、预期目标与下一步工作计划</w:t>
      </w:r>
    </w:p>
    <w:p w14:paraId="592302E1">
      <w:pPr>
        <w:spacing w:before="240" w:after="240" w:line="360" w:lineRule="auto"/>
        <w:outlineLvl w:val="1"/>
        <w:rPr>
          <w:rFonts w:hint="eastAsia" w:ascii="黑体" w:hAnsi="黑体" w:eastAsia="黑体"/>
          <w:sz w:val="32"/>
          <w:szCs w:val="32"/>
        </w:rPr>
      </w:pPr>
      <w:r>
        <w:rPr>
          <w:rFonts w:ascii="黑体" w:hAnsi="黑体" w:eastAsia="黑体"/>
          <w:sz w:val="32"/>
          <w:szCs w:val="32"/>
        </w:rPr>
        <w:t>5.1</w:t>
      </w:r>
      <w:r>
        <w:rPr>
          <w:rFonts w:hint="eastAsia" w:ascii="黑体" w:hAnsi="黑体" w:eastAsia="黑体"/>
          <w:sz w:val="32"/>
          <w:szCs w:val="32"/>
        </w:rPr>
        <w:t xml:space="preserve"> </w:t>
      </w:r>
      <w:r>
        <w:rPr>
          <w:rFonts w:ascii="黑体" w:hAnsi="黑体" w:eastAsia="黑体"/>
          <w:sz w:val="32"/>
          <w:szCs w:val="32"/>
        </w:rPr>
        <w:t>预期目标</w:t>
      </w:r>
    </w:p>
    <w:p w14:paraId="2F325BEA">
      <w:pPr>
        <w:spacing w:line="360" w:lineRule="auto"/>
        <w:ind w:firstLine="480" w:firstLineChars="200"/>
        <w:rPr>
          <w:rFonts w:ascii="Times New Roman" w:hAnsi="Times New Roman"/>
          <w:sz w:val="24"/>
        </w:rPr>
      </w:pPr>
      <w:r>
        <w:rPr>
          <w:rFonts w:hint="eastAsia" w:ascii="Times New Roman" w:hAnsi="Times New Roman"/>
          <w:sz w:val="24"/>
        </w:rPr>
        <w:t>针对以上研究中存在的问题，下一步研究将尝试如何可以从特征表达中保留特异性信息，筛选细胞的特有信息以预测出稀有细胞。还有考虑加入数据的空间信息和特征信息进行多样化的构图，以得到存储更多信息的图，进一步挖掘出图学习过程中的一致性信息和特异性信息，提高细胞组成的推断能力。</w:t>
      </w:r>
    </w:p>
    <w:p w14:paraId="39FCE23F">
      <w:pPr>
        <w:spacing w:before="240" w:after="240" w:line="360" w:lineRule="auto"/>
        <w:outlineLvl w:val="1"/>
        <w:rPr>
          <w:rFonts w:hint="eastAsia" w:ascii="黑体" w:hAnsi="黑体" w:eastAsia="黑体"/>
          <w:sz w:val="32"/>
          <w:szCs w:val="32"/>
        </w:rPr>
      </w:pPr>
      <w:r>
        <w:rPr>
          <w:rFonts w:ascii="黑体" w:hAnsi="黑体" w:eastAsia="黑体"/>
          <w:sz w:val="32"/>
          <w:szCs w:val="32"/>
        </w:rPr>
        <w:t>5.2</w:t>
      </w:r>
      <w:r>
        <w:rPr>
          <w:rFonts w:hint="eastAsia" w:ascii="黑体" w:hAnsi="黑体" w:eastAsia="黑体"/>
          <w:sz w:val="32"/>
          <w:szCs w:val="32"/>
        </w:rPr>
        <w:t xml:space="preserve"> </w:t>
      </w:r>
      <w:r>
        <w:rPr>
          <w:rFonts w:ascii="黑体" w:hAnsi="黑体" w:eastAsia="黑体"/>
          <w:sz w:val="32"/>
          <w:szCs w:val="32"/>
        </w:rPr>
        <w:t>下一步工作安排</w:t>
      </w:r>
    </w:p>
    <w:p w14:paraId="3580543E">
      <w:pPr>
        <w:spacing w:line="360" w:lineRule="auto"/>
        <w:ind w:firstLine="480" w:firstLineChars="200"/>
        <w:rPr>
          <w:rFonts w:ascii="Times New Roman" w:hAnsi="Times New Roman"/>
          <w:sz w:val="24"/>
        </w:rPr>
      </w:pPr>
      <w:r>
        <w:rPr>
          <w:rFonts w:ascii="Times New Roman" w:hAnsi="Times New Roman"/>
          <w:sz w:val="24"/>
        </w:rPr>
        <w:t>202</w:t>
      </w:r>
      <w:r>
        <w:rPr>
          <w:rFonts w:hint="eastAsia" w:ascii="Times New Roman" w:hAnsi="Times New Roman"/>
          <w:sz w:val="24"/>
        </w:rPr>
        <w:t>5</w:t>
      </w:r>
      <w:r>
        <w:rPr>
          <w:rFonts w:ascii="Times New Roman" w:hAnsi="Times New Roman"/>
          <w:sz w:val="24"/>
        </w:rPr>
        <w:t>年7月-202</w:t>
      </w:r>
      <w:r>
        <w:rPr>
          <w:rFonts w:hint="eastAsia" w:ascii="Times New Roman" w:hAnsi="Times New Roman"/>
          <w:sz w:val="24"/>
        </w:rPr>
        <w:t>5</w:t>
      </w:r>
      <w:r>
        <w:rPr>
          <w:rFonts w:ascii="Times New Roman" w:hAnsi="Times New Roman"/>
          <w:sz w:val="24"/>
        </w:rPr>
        <w:t>年11月：</w:t>
      </w:r>
      <w:r>
        <w:rPr>
          <w:rFonts w:hint="eastAsia" w:ascii="Times New Roman" w:hAnsi="Times New Roman"/>
          <w:sz w:val="24"/>
        </w:rPr>
        <w:t>改进数据特征的筛选方式，提取出稀有细胞的特征信息，融合空间信息和特征信息进行构图，融合学习节点间的多样化信息。</w:t>
      </w:r>
    </w:p>
    <w:p w14:paraId="172CA1B2">
      <w:pPr>
        <w:spacing w:line="360" w:lineRule="auto"/>
        <w:ind w:firstLine="480" w:firstLineChars="200"/>
        <w:rPr>
          <w:rFonts w:ascii="Times New Roman" w:hAnsi="Times New Roman"/>
          <w:sz w:val="24"/>
        </w:rPr>
      </w:pPr>
      <w:r>
        <w:rPr>
          <w:rFonts w:ascii="Times New Roman" w:hAnsi="Times New Roman"/>
          <w:sz w:val="24"/>
        </w:rPr>
        <w:t>202</w:t>
      </w:r>
      <w:r>
        <w:rPr>
          <w:rFonts w:hint="eastAsia" w:ascii="Times New Roman" w:hAnsi="Times New Roman"/>
          <w:sz w:val="24"/>
        </w:rPr>
        <w:t>5</w:t>
      </w:r>
      <w:r>
        <w:rPr>
          <w:rFonts w:ascii="Times New Roman" w:hAnsi="Times New Roman"/>
          <w:sz w:val="24"/>
        </w:rPr>
        <w:t>年12月-202</w:t>
      </w:r>
      <w:r>
        <w:rPr>
          <w:rFonts w:hint="eastAsia" w:ascii="Times New Roman" w:hAnsi="Times New Roman"/>
          <w:sz w:val="24"/>
        </w:rPr>
        <w:t>6</w:t>
      </w:r>
      <w:r>
        <w:rPr>
          <w:rFonts w:ascii="Times New Roman" w:hAnsi="Times New Roman"/>
          <w:sz w:val="24"/>
        </w:rPr>
        <w:t>年3月：对于模型进行优化及改进，同时撰写完成大论文。</w:t>
      </w:r>
    </w:p>
    <w:p w14:paraId="2643F4F8">
      <w:pPr>
        <w:spacing w:line="360" w:lineRule="auto"/>
        <w:ind w:firstLine="480" w:firstLineChars="200"/>
        <w:rPr>
          <w:rFonts w:ascii="Times New Roman" w:hAnsi="Times New Roman"/>
          <w:sz w:val="24"/>
        </w:rPr>
      </w:pPr>
      <w:r>
        <w:rPr>
          <w:rFonts w:ascii="Times New Roman" w:hAnsi="Times New Roman"/>
          <w:sz w:val="24"/>
        </w:rPr>
        <w:t>202</w:t>
      </w:r>
      <w:r>
        <w:rPr>
          <w:rFonts w:hint="eastAsia" w:ascii="Times New Roman" w:hAnsi="Times New Roman"/>
          <w:sz w:val="24"/>
        </w:rPr>
        <w:t>6</w:t>
      </w:r>
      <w:r>
        <w:rPr>
          <w:rFonts w:ascii="Times New Roman" w:hAnsi="Times New Roman"/>
          <w:sz w:val="24"/>
        </w:rPr>
        <w:t>年3月-202</w:t>
      </w:r>
      <w:r>
        <w:rPr>
          <w:rFonts w:hint="eastAsia" w:ascii="Times New Roman" w:hAnsi="Times New Roman"/>
          <w:sz w:val="24"/>
        </w:rPr>
        <w:t>6</w:t>
      </w:r>
      <w:r>
        <w:rPr>
          <w:rFonts w:ascii="Times New Roman" w:hAnsi="Times New Roman"/>
          <w:sz w:val="24"/>
        </w:rPr>
        <w:t>年5月：总结课题研究成果，补充相关细节，完善实验，对大论文内容进行修正，准备毕业答辩。</w:t>
      </w:r>
    </w:p>
    <w:p w14:paraId="181996A1">
      <w:pPr>
        <w:spacing w:line="360" w:lineRule="auto"/>
        <w:outlineLvl w:val="0"/>
        <w:rPr>
          <w:rFonts w:hint="eastAsia" w:ascii="黑体" w:hAnsi="黑体" w:eastAsia="黑体"/>
          <w:sz w:val="36"/>
          <w:szCs w:val="36"/>
        </w:rPr>
      </w:pPr>
      <w:r>
        <w:rPr>
          <w:rFonts w:ascii="黑体" w:hAnsi="黑体" w:eastAsia="黑体"/>
          <w:sz w:val="36"/>
          <w:szCs w:val="36"/>
        </w:rPr>
        <w:t>参考文献</w:t>
      </w:r>
    </w:p>
    <w:p w14:paraId="28B44B5F">
      <w:pPr>
        <w:pStyle w:val="31"/>
        <w:numPr>
          <w:ilvl w:val="0"/>
          <w:numId w:val="3"/>
        </w:numPr>
        <w:spacing w:line="300" w:lineRule="auto"/>
        <w:ind w:left="442" w:hanging="442" w:firstLineChars="0"/>
        <w:rPr>
          <w:rFonts w:ascii="Times New Roman" w:hAnsi="Times New Roman"/>
          <w:bCs/>
          <w:sz w:val="21"/>
        </w:rPr>
      </w:pPr>
      <w:bookmarkStart w:id="35" w:name="_Ref202171468"/>
      <w:bookmarkStart w:id="36" w:name="_Ref201802729"/>
      <w:bookmarkStart w:id="37" w:name="_Ref201802044"/>
      <w:bookmarkStart w:id="38" w:name="_Hlk201862188"/>
      <w:r>
        <w:rPr>
          <w:rFonts w:ascii="Times New Roman" w:hAnsi="Times New Roman"/>
          <w:bCs/>
          <w:sz w:val="21"/>
        </w:rPr>
        <w:t>Eng C L, Lawson M, Zhu Q, et al. Transcriptome-scale super-resolved imaging in tissues by RNA seqFISH[J]. Nature, 2019, 568(7751): 235–239.</w:t>
      </w:r>
      <w:bookmarkEnd w:id="35"/>
    </w:p>
    <w:p w14:paraId="27BC4DC9">
      <w:pPr>
        <w:pStyle w:val="31"/>
        <w:numPr>
          <w:ilvl w:val="0"/>
          <w:numId w:val="3"/>
        </w:numPr>
        <w:spacing w:line="300" w:lineRule="auto"/>
        <w:ind w:left="442" w:hanging="442" w:firstLineChars="0"/>
        <w:rPr>
          <w:rFonts w:ascii="Times New Roman" w:hAnsi="Times New Roman"/>
          <w:bCs/>
          <w:sz w:val="21"/>
        </w:rPr>
      </w:pPr>
      <w:bookmarkStart w:id="39" w:name="_Ref202901679"/>
      <w:r>
        <w:rPr>
          <w:rFonts w:ascii="Times New Roman" w:hAnsi="Times New Roman"/>
          <w:bCs/>
          <w:sz w:val="21"/>
        </w:rPr>
        <w:t>Merritt C R, Ong G T, Church S E, et al. Multiplex digital spatial profiling of proteins and RNA in fixed tissue[J]. Nature Biotechnology, 2020, 38(5): 586–</w:t>
      </w:r>
      <w:r>
        <w:rPr>
          <w:rFonts w:hint="eastAsia" w:ascii="Times New Roman" w:hAnsi="Times New Roman"/>
          <w:bCs/>
          <w:sz w:val="21"/>
        </w:rPr>
        <w:t>5</w:t>
      </w:r>
      <w:r>
        <w:rPr>
          <w:rFonts w:ascii="Times New Roman" w:hAnsi="Times New Roman"/>
          <w:bCs/>
          <w:sz w:val="21"/>
        </w:rPr>
        <w:t>99.</w:t>
      </w:r>
      <w:bookmarkEnd w:id="39"/>
    </w:p>
    <w:p w14:paraId="7E00DC6D">
      <w:pPr>
        <w:pStyle w:val="31"/>
        <w:numPr>
          <w:ilvl w:val="0"/>
          <w:numId w:val="3"/>
        </w:numPr>
        <w:spacing w:line="300" w:lineRule="auto"/>
        <w:ind w:left="442" w:hanging="442" w:firstLineChars="0"/>
        <w:rPr>
          <w:rFonts w:ascii="Times New Roman" w:hAnsi="Times New Roman"/>
          <w:bCs/>
          <w:sz w:val="21"/>
        </w:rPr>
      </w:pPr>
      <w:bookmarkStart w:id="40" w:name="_Ref202901681"/>
      <w:r>
        <w:rPr>
          <w:rFonts w:ascii="Times New Roman" w:hAnsi="Times New Roman"/>
          <w:bCs/>
          <w:sz w:val="21"/>
        </w:rPr>
        <w:t>Rodriques S G, Stickels R R, Goeva A, et al. Slide-seq: a scalable technology for measuring genome-wide expression at high spatial resolution[J]. Science, 2019, 363(6434): 1463–</w:t>
      </w:r>
      <w:r>
        <w:rPr>
          <w:rFonts w:hint="eastAsia" w:ascii="Times New Roman" w:hAnsi="Times New Roman"/>
          <w:bCs/>
          <w:sz w:val="21"/>
        </w:rPr>
        <w:t>146</w:t>
      </w:r>
      <w:r>
        <w:rPr>
          <w:rFonts w:ascii="Times New Roman" w:hAnsi="Times New Roman"/>
          <w:bCs/>
          <w:sz w:val="21"/>
        </w:rPr>
        <w:t>7.</w:t>
      </w:r>
      <w:bookmarkEnd w:id="40"/>
    </w:p>
    <w:p w14:paraId="02153B96">
      <w:pPr>
        <w:pStyle w:val="31"/>
        <w:numPr>
          <w:ilvl w:val="0"/>
          <w:numId w:val="3"/>
        </w:numPr>
        <w:spacing w:line="300" w:lineRule="auto"/>
        <w:ind w:left="442" w:hanging="442" w:firstLineChars="0"/>
        <w:rPr>
          <w:rFonts w:ascii="Times New Roman" w:hAnsi="Times New Roman"/>
          <w:bCs/>
          <w:sz w:val="21"/>
        </w:rPr>
      </w:pPr>
      <w:bookmarkStart w:id="41" w:name="_Ref202901683"/>
      <w:r>
        <w:rPr>
          <w:rFonts w:ascii="Times New Roman" w:hAnsi="Times New Roman"/>
          <w:bCs/>
          <w:sz w:val="21"/>
        </w:rPr>
        <w:t xml:space="preserve">Wang X, Allen W E, Wright M A, et al. Three-dimensional intact-tissue sequencing of single-cell transcriptional states[J]. Science, 2018, 361(6400): </w:t>
      </w:r>
      <w:r>
        <w:rPr>
          <w:rFonts w:hint="eastAsia" w:ascii="Times New Roman" w:hAnsi="Times New Roman"/>
          <w:bCs/>
          <w:sz w:val="21"/>
        </w:rPr>
        <w:t>1-22</w:t>
      </w:r>
      <w:r>
        <w:rPr>
          <w:rFonts w:ascii="Times New Roman" w:hAnsi="Times New Roman"/>
          <w:bCs/>
          <w:sz w:val="21"/>
        </w:rPr>
        <w:t>.</w:t>
      </w:r>
      <w:bookmarkEnd w:id="41"/>
    </w:p>
    <w:p w14:paraId="039B91E2">
      <w:pPr>
        <w:pStyle w:val="31"/>
        <w:numPr>
          <w:ilvl w:val="0"/>
          <w:numId w:val="3"/>
        </w:numPr>
        <w:spacing w:line="300" w:lineRule="auto"/>
        <w:ind w:left="442" w:hanging="442" w:firstLineChars="0"/>
        <w:rPr>
          <w:rFonts w:ascii="Times New Roman" w:hAnsi="Times New Roman"/>
          <w:bCs/>
          <w:sz w:val="21"/>
        </w:rPr>
      </w:pPr>
      <w:bookmarkStart w:id="42" w:name="_Ref202171504"/>
      <w:r>
        <w:rPr>
          <w:rFonts w:ascii="Times New Roman" w:hAnsi="Times New Roman"/>
          <w:bCs/>
          <w:sz w:val="21"/>
        </w:rPr>
        <w:t>Rao A, Barkley D, França G S, et al.. Exploring tissue architecture using spatial transcriptomics[J]. Nature, 2021, 596: 211-220.</w:t>
      </w:r>
      <w:bookmarkEnd w:id="36"/>
      <w:bookmarkEnd w:id="42"/>
    </w:p>
    <w:p w14:paraId="02383AEA">
      <w:pPr>
        <w:pStyle w:val="31"/>
        <w:numPr>
          <w:ilvl w:val="0"/>
          <w:numId w:val="3"/>
        </w:numPr>
        <w:spacing w:line="300" w:lineRule="auto"/>
        <w:ind w:left="442" w:hanging="442" w:firstLineChars="0"/>
        <w:rPr>
          <w:rFonts w:ascii="Times New Roman" w:hAnsi="Times New Roman"/>
          <w:bCs/>
          <w:sz w:val="21"/>
        </w:rPr>
      </w:pPr>
      <w:bookmarkStart w:id="43" w:name="_Ref201862282"/>
      <w:r>
        <w:rPr>
          <w:rFonts w:ascii="Times New Roman" w:hAnsi="Times New Roman"/>
          <w:bCs/>
          <w:sz w:val="21"/>
        </w:rPr>
        <w:t>Wang Z, Gerstein M, Snyder M. RNA-Seq: a revolutionary tool for transcriptomics[J]. Nature Reviews Genetics, 2009, 10(1): 57-63.</w:t>
      </w:r>
      <w:bookmarkEnd w:id="37"/>
      <w:bookmarkEnd w:id="43"/>
    </w:p>
    <w:p w14:paraId="4238C2C5">
      <w:pPr>
        <w:pStyle w:val="31"/>
        <w:numPr>
          <w:ilvl w:val="0"/>
          <w:numId w:val="3"/>
        </w:numPr>
        <w:spacing w:line="300" w:lineRule="auto"/>
        <w:ind w:left="442" w:hanging="442" w:firstLineChars="0"/>
        <w:rPr>
          <w:rFonts w:ascii="Times New Roman" w:hAnsi="Times New Roman"/>
          <w:bCs/>
          <w:sz w:val="21"/>
        </w:rPr>
      </w:pPr>
      <w:bookmarkStart w:id="44" w:name="_Ref202171927"/>
      <w:r>
        <w:rPr>
          <w:rFonts w:ascii="Times New Roman" w:hAnsi="Times New Roman"/>
          <w:bCs/>
          <w:sz w:val="21"/>
        </w:rPr>
        <w:t xml:space="preserve">Asp M, Bergenstråhle J, Lundeberg J. Spatially Resolved Transcriptomes-Next Generation Tools for Tissue Exploration[J]. Bioessays, 2020, 42(10): </w:t>
      </w:r>
      <w:r>
        <w:rPr>
          <w:rFonts w:hint="eastAsia" w:ascii="Times New Roman" w:hAnsi="Times New Roman"/>
          <w:bCs/>
          <w:sz w:val="21"/>
        </w:rPr>
        <w:t>1-16</w:t>
      </w:r>
      <w:r>
        <w:rPr>
          <w:rFonts w:ascii="Times New Roman" w:hAnsi="Times New Roman"/>
          <w:bCs/>
          <w:sz w:val="21"/>
        </w:rPr>
        <w:t>.</w:t>
      </w:r>
      <w:bookmarkEnd w:id="44"/>
    </w:p>
    <w:p w14:paraId="1694CAC1">
      <w:pPr>
        <w:pStyle w:val="31"/>
        <w:numPr>
          <w:ilvl w:val="0"/>
          <w:numId w:val="3"/>
        </w:numPr>
        <w:spacing w:line="300" w:lineRule="auto"/>
        <w:ind w:left="442" w:hanging="442" w:firstLineChars="0"/>
        <w:rPr>
          <w:rFonts w:ascii="Times New Roman" w:hAnsi="Times New Roman"/>
          <w:bCs/>
          <w:sz w:val="21"/>
        </w:rPr>
      </w:pPr>
      <w:bookmarkStart w:id="45" w:name="_Ref202901701"/>
      <w:r>
        <w:rPr>
          <w:rFonts w:ascii="Times New Roman" w:hAnsi="Times New Roman"/>
          <w:bCs/>
          <w:sz w:val="21"/>
        </w:rPr>
        <w:t>[2] Stickels R R, Murray E, Kumar P, et al. Highly sensitive spatial transcriptomics at near-cellular resolution with Slide-seqV2[J]. Nature Biotechnology, 2021, 39(3): 313-319.</w:t>
      </w:r>
      <w:bookmarkEnd w:id="45"/>
    </w:p>
    <w:p w14:paraId="653300C3">
      <w:pPr>
        <w:pStyle w:val="31"/>
        <w:numPr>
          <w:ilvl w:val="0"/>
          <w:numId w:val="3"/>
        </w:numPr>
        <w:spacing w:line="300" w:lineRule="auto"/>
        <w:ind w:left="442" w:hanging="442" w:firstLineChars="0"/>
        <w:rPr>
          <w:rFonts w:ascii="Times New Roman" w:hAnsi="Times New Roman"/>
          <w:bCs/>
          <w:sz w:val="21"/>
        </w:rPr>
      </w:pPr>
      <w:bookmarkStart w:id="46" w:name="_Ref202901703"/>
      <w:r>
        <w:rPr>
          <w:rFonts w:ascii="Times New Roman" w:hAnsi="Times New Roman"/>
          <w:bCs/>
          <w:sz w:val="21"/>
        </w:rPr>
        <w:t>[3] Ståhl P L, Salmén F, Vickovic S, et al. Visualization and analysis of gene expression in tissue sections by spatial transcriptomics[J]. Science, 2016, 353(6294): 78-82.</w:t>
      </w:r>
      <w:bookmarkEnd w:id="46"/>
    </w:p>
    <w:p w14:paraId="70B130F2">
      <w:pPr>
        <w:pStyle w:val="31"/>
        <w:numPr>
          <w:ilvl w:val="0"/>
          <w:numId w:val="3"/>
        </w:numPr>
        <w:spacing w:line="300" w:lineRule="auto"/>
        <w:ind w:left="442" w:hanging="442" w:firstLineChars="0"/>
        <w:rPr>
          <w:rFonts w:ascii="Times New Roman" w:hAnsi="Times New Roman"/>
          <w:bCs/>
          <w:sz w:val="21"/>
        </w:rPr>
      </w:pPr>
      <w:bookmarkStart w:id="47" w:name="_Ref201802713"/>
      <w:r>
        <w:rPr>
          <w:rFonts w:ascii="Times New Roman" w:hAnsi="Times New Roman"/>
          <w:bCs/>
          <w:sz w:val="21"/>
        </w:rPr>
        <w:t>Kim K H, Moon H, Lee C, et al. Advances in single-cell RNA sequencing: a high-resolution view of gene expression dynamics in plants[J]. Plant Biotechnology Reports, 2019, 13(2): 143-157.</w:t>
      </w:r>
      <w:bookmarkEnd w:id="47"/>
    </w:p>
    <w:p w14:paraId="58AFBAA2">
      <w:pPr>
        <w:pStyle w:val="31"/>
        <w:numPr>
          <w:ilvl w:val="0"/>
          <w:numId w:val="3"/>
        </w:numPr>
        <w:spacing w:line="300" w:lineRule="auto"/>
        <w:ind w:left="442" w:hanging="442" w:firstLineChars="0"/>
        <w:rPr>
          <w:rFonts w:ascii="Times New Roman" w:hAnsi="Times New Roman"/>
          <w:bCs/>
          <w:sz w:val="21"/>
        </w:rPr>
      </w:pPr>
      <w:bookmarkStart w:id="48" w:name="_Ref201865728"/>
      <w:r>
        <w:rPr>
          <w:rFonts w:ascii="Times New Roman" w:hAnsi="Times New Roman"/>
          <w:bCs/>
          <w:sz w:val="21"/>
        </w:rPr>
        <w:t>Pliner H A, Shendure J, Trapnell C. Garnett: automated marker gene annotation for scRNA-seq data[J]. Computational and Structural Biotechnology Journal, 2019, 16: 505-508.</w:t>
      </w:r>
      <w:bookmarkEnd w:id="48"/>
      <w:r>
        <w:rPr>
          <w:rFonts w:ascii="Times New Roman" w:hAnsi="Times New Roman"/>
          <w:bCs/>
          <w:sz w:val="21"/>
        </w:rPr>
        <w:t xml:space="preserve"> </w:t>
      </w:r>
    </w:p>
    <w:p w14:paraId="6897C977">
      <w:pPr>
        <w:pStyle w:val="31"/>
        <w:numPr>
          <w:ilvl w:val="0"/>
          <w:numId w:val="3"/>
        </w:numPr>
        <w:spacing w:line="300" w:lineRule="auto"/>
        <w:ind w:left="442" w:hanging="442" w:firstLineChars="0"/>
        <w:rPr>
          <w:rFonts w:ascii="Times New Roman" w:hAnsi="Times New Roman"/>
          <w:bCs/>
          <w:sz w:val="21"/>
        </w:rPr>
      </w:pPr>
      <w:bookmarkStart w:id="49" w:name="_Ref202170686"/>
      <w:r>
        <w:rPr>
          <w:rFonts w:ascii="Times New Roman" w:hAnsi="Times New Roman"/>
          <w:bCs/>
          <w:sz w:val="21"/>
        </w:rPr>
        <w:t>Wang Z, Gerstein M, Snyder M. RNA-Seq: a revolutionary tool for transcriptomics[J]. Nature Reviews Genetics, 2009, 10(1): 57-63.</w:t>
      </w:r>
      <w:bookmarkEnd w:id="49"/>
    </w:p>
    <w:p w14:paraId="2218DAA9">
      <w:pPr>
        <w:pStyle w:val="31"/>
        <w:numPr>
          <w:ilvl w:val="0"/>
          <w:numId w:val="3"/>
        </w:numPr>
        <w:spacing w:line="300" w:lineRule="auto"/>
        <w:ind w:left="442" w:hanging="442" w:firstLineChars="0"/>
        <w:rPr>
          <w:rFonts w:ascii="Times New Roman" w:hAnsi="Times New Roman"/>
          <w:bCs/>
          <w:sz w:val="21"/>
        </w:rPr>
      </w:pPr>
      <w:bookmarkStart w:id="50" w:name="_Ref202170708"/>
      <w:r>
        <w:rPr>
          <w:rFonts w:hint="eastAsia" w:ascii="Times New Roman" w:hAnsi="Times New Roman"/>
          <w:bCs/>
          <w:sz w:val="21"/>
        </w:rPr>
        <w:t>陈梅丽, 马英克, 李茹姣, 等. 基因组学数据分析方法现状和展望 [J]. 数据与计算发展前沿, 2020, 2 (02): 1-19.</w:t>
      </w:r>
      <w:bookmarkEnd w:id="50"/>
    </w:p>
    <w:p w14:paraId="2E89459C">
      <w:pPr>
        <w:pStyle w:val="31"/>
        <w:numPr>
          <w:ilvl w:val="0"/>
          <w:numId w:val="3"/>
        </w:numPr>
        <w:spacing w:line="300" w:lineRule="auto"/>
        <w:ind w:left="442" w:hanging="442" w:firstLineChars="0"/>
        <w:rPr>
          <w:rFonts w:ascii="Times New Roman" w:hAnsi="Times New Roman"/>
          <w:bCs/>
          <w:sz w:val="21"/>
        </w:rPr>
      </w:pPr>
      <w:bookmarkStart w:id="51" w:name="_Ref202170717"/>
      <w:r>
        <w:rPr>
          <w:rFonts w:hint="eastAsia" w:ascii="Times New Roman" w:hAnsi="Times New Roman"/>
          <w:bCs/>
          <w:sz w:val="21"/>
        </w:rPr>
        <w:t>郭圆圆, 孙雅如, 张和平. 微生物转录组学技术研究进展[J].生物工程学报, 2022, 38(10): 3606-3615.</w:t>
      </w:r>
      <w:bookmarkEnd w:id="51"/>
    </w:p>
    <w:p w14:paraId="63403EB2">
      <w:pPr>
        <w:pStyle w:val="31"/>
        <w:numPr>
          <w:ilvl w:val="0"/>
          <w:numId w:val="3"/>
        </w:numPr>
        <w:spacing w:line="300" w:lineRule="auto"/>
        <w:ind w:left="442" w:hanging="442" w:firstLineChars="0"/>
        <w:rPr>
          <w:rFonts w:ascii="Times New Roman" w:hAnsi="Times New Roman"/>
          <w:bCs/>
          <w:sz w:val="21"/>
        </w:rPr>
      </w:pPr>
      <w:bookmarkStart w:id="52" w:name="_Ref201802677"/>
      <w:r>
        <w:rPr>
          <w:rFonts w:ascii="Times New Roman" w:hAnsi="Times New Roman"/>
          <w:bCs/>
          <w:sz w:val="21"/>
        </w:rPr>
        <w:t>Chen J, Liu W, Luo T, et al. A comprehensive comparison on cell-type composition inference for spatial transcriptomics data[J]. Briefings in Bioinformatics, 2022, 23(4): 1-18.</w:t>
      </w:r>
      <w:bookmarkEnd w:id="52"/>
    </w:p>
    <w:p w14:paraId="32B22861">
      <w:pPr>
        <w:pStyle w:val="31"/>
        <w:numPr>
          <w:ilvl w:val="0"/>
          <w:numId w:val="3"/>
        </w:numPr>
        <w:spacing w:line="300" w:lineRule="auto"/>
        <w:ind w:left="442" w:hanging="442" w:firstLineChars="0"/>
        <w:rPr>
          <w:rFonts w:ascii="Times New Roman" w:hAnsi="Times New Roman"/>
          <w:bCs/>
          <w:sz w:val="21"/>
        </w:rPr>
      </w:pPr>
      <w:bookmarkStart w:id="53" w:name="_Ref201802765"/>
      <w:r>
        <w:rPr>
          <w:rFonts w:hint="eastAsia" w:ascii="Times New Roman" w:hAnsi="Times New Roman"/>
          <w:bCs/>
          <w:sz w:val="21"/>
        </w:rPr>
        <w:t>陈子睿, 杨博然, 何田韵, 等. 基于迁移学习的空间转录组数据解卷积算法 [J/OL]. 生物信息学, 2024, 1-14.</w:t>
      </w:r>
      <w:bookmarkEnd w:id="53"/>
    </w:p>
    <w:p w14:paraId="77C3D26C">
      <w:pPr>
        <w:pStyle w:val="31"/>
        <w:numPr>
          <w:ilvl w:val="0"/>
          <w:numId w:val="3"/>
        </w:numPr>
        <w:spacing w:line="300" w:lineRule="auto"/>
        <w:ind w:left="442" w:hanging="442" w:firstLineChars="0"/>
        <w:rPr>
          <w:rFonts w:ascii="Times New Roman" w:hAnsi="Times New Roman"/>
          <w:bCs/>
          <w:sz w:val="21"/>
        </w:rPr>
      </w:pPr>
      <w:bookmarkStart w:id="54" w:name="_Ref201861908"/>
      <w:r>
        <w:rPr>
          <w:rFonts w:hint="eastAsia" w:ascii="Times New Roman" w:hAnsi="Times New Roman"/>
          <w:bCs/>
          <w:sz w:val="21"/>
        </w:rPr>
        <w:t>魏琢艺, 罗迈, 李文兵, 等. 基于多源域适应的单细胞智能分类 [J]. 计算机工程, 2024, 50 (06): 48-55.</w:t>
      </w:r>
      <w:bookmarkEnd w:id="54"/>
    </w:p>
    <w:p w14:paraId="2E6C7A7D">
      <w:pPr>
        <w:pStyle w:val="31"/>
        <w:numPr>
          <w:ilvl w:val="0"/>
          <w:numId w:val="3"/>
        </w:numPr>
        <w:spacing w:line="300" w:lineRule="auto"/>
        <w:ind w:left="442" w:hanging="442" w:firstLineChars="0"/>
        <w:rPr>
          <w:rFonts w:ascii="Times New Roman" w:hAnsi="Times New Roman"/>
          <w:bCs/>
          <w:sz w:val="21"/>
        </w:rPr>
      </w:pPr>
      <w:bookmarkStart w:id="55" w:name="_Ref201803049"/>
      <w:r>
        <w:rPr>
          <w:rFonts w:ascii="Times New Roman" w:hAnsi="Times New Roman"/>
          <w:bCs/>
          <w:sz w:val="21"/>
        </w:rPr>
        <w:t>Kleshchevnikov V, Shmatko A, Dann E, et al. Cell2location maps fine-grained cell types in spatial transcriptomics[J]. Nature Biotechnology, 2022, 40(5): 661-671.</w:t>
      </w:r>
      <w:bookmarkEnd w:id="55"/>
    </w:p>
    <w:p w14:paraId="12A3CDA0">
      <w:pPr>
        <w:pStyle w:val="31"/>
        <w:numPr>
          <w:ilvl w:val="0"/>
          <w:numId w:val="3"/>
        </w:numPr>
        <w:spacing w:line="300" w:lineRule="auto"/>
        <w:ind w:left="442" w:hanging="442" w:firstLineChars="0"/>
        <w:rPr>
          <w:rFonts w:ascii="Times New Roman" w:hAnsi="Times New Roman"/>
          <w:bCs/>
          <w:sz w:val="21"/>
        </w:rPr>
      </w:pPr>
      <w:bookmarkStart w:id="56" w:name="_Ref201802971"/>
      <w:r>
        <w:rPr>
          <w:rFonts w:ascii="Times New Roman" w:hAnsi="Times New Roman"/>
          <w:bCs/>
          <w:sz w:val="21"/>
        </w:rPr>
        <w:t>Cable D M, Murray E, Zou L S, et al. Robust decomposition of cell type mixtures in spatial transcriptomics[J]. Nature Biotechnology, 2022, 40(4): 517-526.</w:t>
      </w:r>
      <w:bookmarkEnd w:id="56"/>
    </w:p>
    <w:p w14:paraId="31144027">
      <w:pPr>
        <w:pStyle w:val="31"/>
        <w:numPr>
          <w:ilvl w:val="0"/>
          <w:numId w:val="3"/>
        </w:numPr>
        <w:spacing w:line="300" w:lineRule="auto"/>
        <w:ind w:left="442" w:hanging="442" w:firstLineChars="0"/>
        <w:rPr>
          <w:rFonts w:ascii="Times New Roman" w:hAnsi="Times New Roman"/>
          <w:bCs/>
          <w:sz w:val="21"/>
        </w:rPr>
      </w:pPr>
      <w:bookmarkStart w:id="57" w:name="_Ref201863134"/>
      <w:r>
        <w:rPr>
          <w:rFonts w:ascii="Times New Roman" w:hAnsi="Times New Roman"/>
          <w:bCs/>
          <w:sz w:val="21"/>
        </w:rPr>
        <w:t>Andersson A, Bergenstråhle J, Asp M</w:t>
      </w:r>
      <w:r>
        <w:rPr>
          <w:rFonts w:hint="eastAsia" w:ascii="Times New Roman" w:hAnsi="Times New Roman"/>
          <w:bCs/>
          <w:sz w:val="21"/>
        </w:rPr>
        <w:t>, et al</w:t>
      </w:r>
      <w:r>
        <w:rPr>
          <w:rFonts w:ascii="Times New Roman" w:hAnsi="Times New Roman"/>
          <w:bCs/>
          <w:sz w:val="21"/>
        </w:rPr>
        <w:t>. Single-cell and spatial transcriptomics enables probabilistic inference of cell type topography.</w:t>
      </w:r>
      <w:r>
        <w:rPr>
          <w:rFonts w:hint="eastAsia" w:ascii="Times New Roman" w:hAnsi="Times New Roman"/>
          <w:bCs/>
          <w:sz w:val="21"/>
        </w:rPr>
        <w:t>[J]</w:t>
      </w:r>
      <w:r>
        <w:rPr>
          <w:rFonts w:ascii="Times New Roman" w:hAnsi="Times New Roman"/>
          <w:bCs/>
          <w:sz w:val="21"/>
        </w:rPr>
        <w:t xml:space="preserve"> Communications Biology,</w:t>
      </w:r>
      <w:r>
        <w:rPr>
          <w:rFonts w:hint="eastAsia" w:ascii="Times New Roman" w:hAnsi="Times New Roman"/>
          <w:bCs/>
          <w:sz w:val="21"/>
        </w:rPr>
        <w:t xml:space="preserve"> </w:t>
      </w:r>
      <w:r>
        <w:rPr>
          <w:rFonts w:ascii="Times New Roman" w:hAnsi="Times New Roman"/>
          <w:bCs/>
          <w:sz w:val="21"/>
        </w:rPr>
        <w:t>2020</w:t>
      </w:r>
      <w:r>
        <w:rPr>
          <w:rFonts w:hint="eastAsia" w:ascii="Times New Roman" w:hAnsi="Times New Roman"/>
          <w:bCs/>
          <w:sz w:val="21"/>
        </w:rPr>
        <w:t>,</w:t>
      </w:r>
      <w:r>
        <w:rPr>
          <w:rFonts w:ascii="Times New Roman" w:hAnsi="Times New Roman"/>
          <w:bCs/>
          <w:sz w:val="21"/>
        </w:rPr>
        <w:t>3(1):565.</w:t>
      </w:r>
      <w:bookmarkEnd w:id="57"/>
    </w:p>
    <w:p w14:paraId="70EDE784">
      <w:pPr>
        <w:pStyle w:val="31"/>
        <w:numPr>
          <w:ilvl w:val="0"/>
          <w:numId w:val="3"/>
        </w:numPr>
        <w:spacing w:line="300" w:lineRule="auto"/>
        <w:ind w:left="442" w:hanging="442" w:firstLineChars="0"/>
        <w:rPr>
          <w:rFonts w:ascii="Times New Roman" w:hAnsi="Times New Roman"/>
          <w:bCs/>
          <w:sz w:val="21"/>
        </w:rPr>
      </w:pPr>
      <w:bookmarkStart w:id="58" w:name="_Ref201866086"/>
      <w:r>
        <w:rPr>
          <w:rFonts w:ascii="Times New Roman" w:hAnsi="Times New Roman"/>
          <w:bCs/>
          <w:sz w:val="21"/>
        </w:rPr>
        <w:t>Pliner H A, Shendure J, Trapnell C. Garnett: automated marker gene annotation for scRNA-seq data[J]. Computational and Structural Biotechnology Journal, 2019, 16: 505-508.</w:t>
      </w:r>
      <w:bookmarkEnd w:id="58"/>
      <w:r>
        <w:rPr>
          <w:rFonts w:ascii="Times New Roman" w:hAnsi="Times New Roman"/>
          <w:bCs/>
          <w:sz w:val="21"/>
        </w:rPr>
        <w:t xml:space="preserve"> </w:t>
      </w:r>
    </w:p>
    <w:p w14:paraId="71D79A80">
      <w:pPr>
        <w:pStyle w:val="31"/>
        <w:numPr>
          <w:ilvl w:val="0"/>
          <w:numId w:val="3"/>
        </w:numPr>
        <w:spacing w:line="300" w:lineRule="auto"/>
        <w:ind w:left="442" w:hanging="442" w:firstLineChars="0"/>
        <w:rPr>
          <w:rFonts w:ascii="Times New Roman" w:hAnsi="Times New Roman"/>
          <w:bCs/>
          <w:sz w:val="21"/>
        </w:rPr>
      </w:pPr>
      <w:bookmarkStart w:id="59" w:name="_Ref201866092"/>
      <w:r>
        <w:rPr>
          <w:rFonts w:ascii="Times New Roman" w:hAnsi="Times New Roman"/>
          <w:bCs/>
          <w:sz w:val="21"/>
        </w:rPr>
        <w:t>Yang P, Jin L, Liao J, et al. Revealing spatial multimodal heterogeneity in tissues with SpaTrio[J]. Cell Genomics, 2023, 3(12): 1-23.</w:t>
      </w:r>
      <w:bookmarkEnd w:id="59"/>
      <w:r>
        <w:rPr>
          <w:rFonts w:ascii="Times New Roman" w:hAnsi="Times New Roman"/>
          <w:bCs/>
          <w:sz w:val="21"/>
        </w:rPr>
        <w:t xml:space="preserve"> </w:t>
      </w:r>
    </w:p>
    <w:p w14:paraId="774F21E6">
      <w:pPr>
        <w:pStyle w:val="31"/>
        <w:numPr>
          <w:ilvl w:val="0"/>
          <w:numId w:val="3"/>
        </w:numPr>
        <w:spacing w:line="300" w:lineRule="auto"/>
        <w:ind w:left="442" w:hanging="442" w:firstLineChars="0"/>
        <w:rPr>
          <w:rFonts w:ascii="Times New Roman" w:hAnsi="Times New Roman"/>
          <w:bCs/>
          <w:sz w:val="21"/>
        </w:rPr>
      </w:pPr>
      <w:bookmarkStart w:id="60" w:name="_Ref201866098"/>
      <w:r>
        <w:rPr>
          <w:rFonts w:ascii="Times New Roman" w:hAnsi="Times New Roman"/>
          <w:bCs/>
          <w:sz w:val="21"/>
        </w:rPr>
        <w:t>Liu Z, Wu D, Zhai W, et al. SONAR enables cell type deconvolution with spatially weighted poisson-gamma model for spatial transcriptomics[J]. Nature Communications, 2023, 14: 4727.</w:t>
      </w:r>
      <w:bookmarkEnd w:id="60"/>
    </w:p>
    <w:p w14:paraId="31D46912">
      <w:pPr>
        <w:pStyle w:val="31"/>
        <w:numPr>
          <w:ilvl w:val="0"/>
          <w:numId w:val="3"/>
        </w:numPr>
        <w:spacing w:line="300" w:lineRule="auto"/>
        <w:ind w:left="442" w:hanging="442" w:firstLineChars="0"/>
        <w:rPr>
          <w:rFonts w:ascii="Times New Roman" w:hAnsi="Times New Roman"/>
          <w:bCs/>
          <w:sz w:val="21"/>
        </w:rPr>
      </w:pPr>
      <w:bookmarkStart w:id="61" w:name="_Ref201802930"/>
      <w:r>
        <w:rPr>
          <w:rFonts w:ascii="Times New Roman" w:hAnsi="Times New Roman"/>
          <w:bCs/>
          <w:sz w:val="21"/>
        </w:rPr>
        <w:t>Dong R, Yuan G C. SpatialDWLS: accurate deconvolution of spatial transcriptomic data[J]. Genome Biology, 2021, 22(1): 1-19.</w:t>
      </w:r>
      <w:bookmarkEnd w:id="61"/>
    </w:p>
    <w:p w14:paraId="3CCF9C66">
      <w:pPr>
        <w:pStyle w:val="31"/>
        <w:numPr>
          <w:ilvl w:val="0"/>
          <w:numId w:val="3"/>
        </w:numPr>
        <w:spacing w:line="300" w:lineRule="auto"/>
        <w:ind w:left="442" w:hanging="442" w:firstLineChars="0"/>
        <w:rPr>
          <w:rFonts w:ascii="Times New Roman" w:hAnsi="Times New Roman"/>
          <w:bCs/>
          <w:sz w:val="21"/>
        </w:rPr>
      </w:pPr>
      <w:bookmarkStart w:id="62" w:name="_Ref201802856"/>
      <w:r>
        <w:rPr>
          <w:rFonts w:ascii="Times New Roman" w:hAnsi="Times New Roman"/>
          <w:bCs/>
          <w:sz w:val="21"/>
        </w:rPr>
        <w:t>Elosua-Bayes M, Nieto P, Mereu E, et al. SPOTlight: seeded NMF regression to deconvolute spatial transcriptomics spots with single-cell transcriptomes[J]. Nucleic Acids Research, 2021, 49(9): 1-12.</w:t>
      </w:r>
      <w:bookmarkEnd w:id="62"/>
    </w:p>
    <w:p w14:paraId="03AFCC20">
      <w:pPr>
        <w:pStyle w:val="31"/>
        <w:numPr>
          <w:ilvl w:val="0"/>
          <w:numId w:val="3"/>
        </w:numPr>
        <w:spacing w:line="300" w:lineRule="auto"/>
        <w:ind w:left="442" w:hanging="442" w:firstLineChars="0"/>
        <w:rPr>
          <w:rFonts w:ascii="Times New Roman" w:hAnsi="Times New Roman"/>
          <w:bCs/>
          <w:sz w:val="21"/>
        </w:rPr>
      </w:pPr>
      <w:bookmarkStart w:id="63" w:name="_Ref201865196"/>
      <w:r>
        <w:rPr>
          <w:rFonts w:ascii="Times New Roman" w:hAnsi="Times New Roman"/>
          <w:bCs/>
          <w:sz w:val="21"/>
        </w:rPr>
        <w:t>Rodriques S G, Stickels R R, Goeva A, et al. Slide-seq: A scalable technology for measuring genome-wide expression at high spatial resolution[J]. Science, 2019, 363: 1463-1467.</w:t>
      </w:r>
      <w:bookmarkEnd w:id="63"/>
    </w:p>
    <w:p w14:paraId="0A369DA7">
      <w:pPr>
        <w:pStyle w:val="31"/>
        <w:numPr>
          <w:ilvl w:val="0"/>
          <w:numId w:val="3"/>
        </w:numPr>
        <w:spacing w:line="300" w:lineRule="auto"/>
        <w:ind w:left="442" w:hanging="442" w:firstLineChars="0"/>
        <w:rPr>
          <w:rFonts w:ascii="Times New Roman" w:hAnsi="Times New Roman"/>
          <w:bCs/>
          <w:sz w:val="21"/>
        </w:rPr>
      </w:pPr>
      <w:bookmarkStart w:id="64" w:name="_Ref201866571"/>
      <w:r>
        <w:rPr>
          <w:rFonts w:ascii="Times New Roman" w:hAnsi="Times New Roman"/>
          <w:bCs/>
          <w:sz w:val="21"/>
        </w:rPr>
        <w:t>Frishberg A, Peshes-Yaloz N, Cohn O, et al. Cell composition analysis of bulk genomics using single-cell data[J]. Nature Methods, 2019, 16(4): 327-332.</w:t>
      </w:r>
      <w:bookmarkEnd w:id="64"/>
    </w:p>
    <w:p w14:paraId="6C4AC1B8">
      <w:pPr>
        <w:pStyle w:val="31"/>
        <w:numPr>
          <w:ilvl w:val="0"/>
          <w:numId w:val="3"/>
        </w:numPr>
        <w:spacing w:line="300" w:lineRule="auto"/>
        <w:ind w:left="442" w:hanging="442" w:firstLineChars="0"/>
        <w:rPr>
          <w:rFonts w:ascii="Times New Roman" w:hAnsi="Times New Roman"/>
          <w:bCs/>
          <w:sz w:val="21"/>
        </w:rPr>
      </w:pPr>
      <w:bookmarkStart w:id="65" w:name="_Ref201866579"/>
      <w:r>
        <w:rPr>
          <w:rFonts w:ascii="Times New Roman" w:hAnsi="Times New Roman"/>
          <w:bCs/>
          <w:sz w:val="21"/>
        </w:rPr>
        <w:t>Newman AM, Liu CL, Green MR, et al. Robust enumeration of cell subsets from tissue expression profiles[J]. Nature Methods, 2015, 12(5): 453-457.</w:t>
      </w:r>
      <w:bookmarkEnd w:id="65"/>
    </w:p>
    <w:p w14:paraId="0AF69693">
      <w:pPr>
        <w:pStyle w:val="31"/>
        <w:numPr>
          <w:ilvl w:val="0"/>
          <w:numId w:val="3"/>
        </w:numPr>
        <w:spacing w:line="300" w:lineRule="auto"/>
        <w:ind w:left="442" w:hanging="442" w:firstLineChars="0"/>
        <w:rPr>
          <w:rFonts w:ascii="Times New Roman" w:hAnsi="Times New Roman"/>
          <w:bCs/>
          <w:sz w:val="21"/>
        </w:rPr>
      </w:pPr>
      <w:bookmarkStart w:id="66" w:name="_Ref201866587"/>
      <w:r>
        <w:rPr>
          <w:rFonts w:ascii="Times New Roman" w:hAnsi="Times New Roman"/>
          <w:bCs/>
          <w:sz w:val="21"/>
        </w:rPr>
        <w:t>Wang X, Park J, Susztak K, et al. Bulk tissue cell type deconvolution with multi-subject single-cell expression reference[J]. Nature Communications, 2019, 10(1): 1-9.</w:t>
      </w:r>
      <w:bookmarkEnd w:id="66"/>
    </w:p>
    <w:p w14:paraId="30FB3A14">
      <w:pPr>
        <w:pStyle w:val="31"/>
        <w:numPr>
          <w:ilvl w:val="0"/>
          <w:numId w:val="3"/>
        </w:numPr>
        <w:spacing w:line="300" w:lineRule="auto"/>
        <w:ind w:left="442" w:hanging="442" w:firstLineChars="0"/>
        <w:rPr>
          <w:rFonts w:ascii="Times New Roman" w:hAnsi="Times New Roman"/>
          <w:bCs/>
          <w:sz w:val="21"/>
        </w:rPr>
      </w:pPr>
      <w:bookmarkStart w:id="67" w:name="_Ref201866658"/>
      <w:r>
        <w:rPr>
          <w:rFonts w:ascii="Times New Roman" w:hAnsi="Times New Roman"/>
          <w:bCs/>
          <w:sz w:val="21"/>
        </w:rPr>
        <w:t>Liao J, Qian J, Fang Y, et al. De novo analysis of bulk RNA-seq data at spatially resolved single-cell resolution[J]. Nature Communications, 2022, 13: 1-19.</w:t>
      </w:r>
      <w:bookmarkEnd w:id="67"/>
      <w:r>
        <w:rPr>
          <w:rFonts w:ascii="Times New Roman" w:hAnsi="Times New Roman"/>
          <w:bCs/>
          <w:sz w:val="21"/>
        </w:rPr>
        <w:t xml:space="preserve"> </w:t>
      </w:r>
    </w:p>
    <w:p w14:paraId="30EFDF58">
      <w:pPr>
        <w:pStyle w:val="31"/>
        <w:numPr>
          <w:ilvl w:val="0"/>
          <w:numId w:val="3"/>
        </w:numPr>
        <w:spacing w:line="300" w:lineRule="auto"/>
        <w:ind w:left="442" w:hanging="442" w:firstLineChars="0"/>
        <w:rPr>
          <w:rFonts w:ascii="Times New Roman" w:hAnsi="Times New Roman"/>
          <w:bCs/>
          <w:sz w:val="21"/>
        </w:rPr>
      </w:pPr>
      <w:bookmarkStart w:id="68" w:name="_Ref201866713"/>
      <w:r>
        <w:rPr>
          <w:rFonts w:ascii="Times New Roman" w:hAnsi="Times New Roman"/>
          <w:bCs/>
          <w:sz w:val="21"/>
        </w:rPr>
        <w:t>Benjamin K, Bhandari A, Kepple JD, et al. Multiscale topology classifies cells in subcellular spatial transcriptomics[J]. Nature, 2024,1-21.</w:t>
      </w:r>
      <w:bookmarkEnd w:id="68"/>
    </w:p>
    <w:p w14:paraId="7D57F0C8">
      <w:pPr>
        <w:pStyle w:val="31"/>
        <w:numPr>
          <w:ilvl w:val="0"/>
          <w:numId w:val="3"/>
        </w:numPr>
        <w:spacing w:line="300" w:lineRule="auto"/>
        <w:ind w:left="442" w:hanging="442" w:firstLineChars="0"/>
        <w:rPr>
          <w:rFonts w:ascii="Times New Roman" w:hAnsi="Times New Roman"/>
          <w:bCs/>
          <w:sz w:val="21"/>
        </w:rPr>
      </w:pPr>
      <w:bookmarkStart w:id="69" w:name="_Ref201803177"/>
      <w:r>
        <w:rPr>
          <w:rFonts w:ascii="Times New Roman" w:hAnsi="Times New Roman"/>
          <w:bCs/>
          <w:sz w:val="21"/>
        </w:rPr>
        <w:t>Song Q, Su J. DSTG: deconvoluting spatial transcriptomics data through graph-based artificial intelligence[J]. Briefings in Bioinformatics, 2021, 22(5): 1-13.</w:t>
      </w:r>
      <w:bookmarkEnd w:id="69"/>
      <w:r>
        <w:rPr>
          <w:rFonts w:ascii="Times New Roman" w:hAnsi="Times New Roman"/>
          <w:bCs/>
          <w:sz w:val="21"/>
        </w:rPr>
        <w:t xml:space="preserve"> </w:t>
      </w:r>
    </w:p>
    <w:p w14:paraId="31BD233D">
      <w:pPr>
        <w:pStyle w:val="31"/>
        <w:numPr>
          <w:ilvl w:val="0"/>
          <w:numId w:val="3"/>
        </w:numPr>
        <w:spacing w:line="300" w:lineRule="auto"/>
        <w:ind w:left="442" w:hanging="442" w:firstLineChars="0"/>
        <w:rPr>
          <w:rFonts w:ascii="Times New Roman" w:hAnsi="Times New Roman"/>
          <w:bCs/>
          <w:sz w:val="21"/>
        </w:rPr>
      </w:pPr>
      <w:bookmarkStart w:id="70" w:name="_Ref201803198"/>
      <w:r>
        <w:rPr>
          <w:rFonts w:ascii="Times New Roman" w:hAnsi="Times New Roman"/>
          <w:bCs/>
          <w:sz w:val="21"/>
        </w:rPr>
        <w:t>Li H, Li H, Zhou J, et al. SD2: spatially resolved transcriptomics deconvolution through integration of dropout and spatial information[J]. Bioinformatics, 2022, 38(21): 4878-4884.</w:t>
      </w:r>
      <w:bookmarkEnd w:id="70"/>
    </w:p>
    <w:p w14:paraId="3FFDBB4B">
      <w:pPr>
        <w:pStyle w:val="31"/>
        <w:numPr>
          <w:ilvl w:val="0"/>
          <w:numId w:val="3"/>
        </w:numPr>
        <w:spacing w:line="300" w:lineRule="auto"/>
        <w:ind w:left="442" w:hanging="442" w:firstLineChars="0"/>
        <w:rPr>
          <w:rFonts w:ascii="Times New Roman" w:hAnsi="Times New Roman"/>
          <w:bCs/>
          <w:sz w:val="21"/>
        </w:rPr>
      </w:pPr>
      <w:bookmarkStart w:id="71" w:name="_Ref201867030"/>
      <w:r>
        <w:rPr>
          <w:rFonts w:ascii="Times New Roman" w:hAnsi="Times New Roman"/>
          <w:bCs/>
          <w:sz w:val="21"/>
        </w:rPr>
        <w:t>Wei R, He S, Bai S, et al. Spatial charting of single-cell transcriptomes in tissues[J]. Nature Biotechnology, 2022, 40(7): 1190-1199.</w:t>
      </w:r>
      <w:bookmarkEnd w:id="71"/>
      <w:r>
        <w:rPr>
          <w:rFonts w:ascii="Times New Roman" w:hAnsi="Times New Roman"/>
          <w:bCs/>
          <w:sz w:val="21"/>
        </w:rPr>
        <w:t xml:space="preserve"> </w:t>
      </w:r>
    </w:p>
    <w:p w14:paraId="040707D0">
      <w:pPr>
        <w:pStyle w:val="31"/>
        <w:numPr>
          <w:ilvl w:val="0"/>
          <w:numId w:val="3"/>
        </w:numPr>
        <w:spacing w:line="300" w:lineRule="auto"/>
        <w:ind w:left="442" w:hanging="442" w:firstLineChars="0"/>
        <w:rPr>
          <w:rFonts w:ascii="Times New Roman" w:hAnsi="Times New Roman"/>
          <w:bCs/>
          <w:sz w:val="21"/>
        </w:rPr>
      </w:pPr>
      <w:bookmarkStart w:id="72" w:name="_Ref201867037"/>
      <w:r>
        <w:rPr>
          <w:rFonts w:ascii="Times New Roman" w:hAnsi="Times New Roman"/>
          <w:bCs/>
          <w:sz w:val="21"/>
        </w:rPr>
        <w:t>Shen R, Liu L, Wu Z, et al. Spatial-ID: a cell typing method for spatially resolved transcriptomics via transfer learning and spatial embedding[J]. Nature Communications, 2022, 13: 1-17.</w:t>
      </w:r>
      <w:bookmarkEnd w:id="72"/>
      <w:r>
        <w:rPr>
          <w:rFonts w:ascii="Times New Roman" w:hAnsi="Times New Roman"/>
          <w:bCs/>
          <w:sz w:val="21"/>
        </w:rPr>
        <w:t xml:space="preserve"> </w:t>
      </w:r>
    </w:p>
    <w:p w14:paraId="1CC368B1">
      <w:pPr>
        <w:pStyle w:val="31"/>
        <w:numPr>
          <w:ilvl w:val="0"/>
          <w:numId w:val="3"/>
        </w:numPr>
        <w:spacing w:line="300" w:lineRule="auto"/>
        <w:ind w:left="442" w:hanging="442" w:firstLineChars="0"/>
        <w:rPr>
          <w:rFonts w:ascii="Times New Roman" w:hAnsi="Times New Roman"/>
          <w:bCs/>
          <w:sz w:val="21"/>
        </w:rPr>
      </w:pPr>
      <w:bookmarkStart w:id="73" w:name="_Ref201803271"/>
      <w:r>
        <w:rPr>
          <w:rFonts w:ascii="Times New Roman" w:hAnsi="Times New Roman"/>
          <w:bCs/>
          <w:sz w:val="21"/>
        </w:rPr>
        <w:t>Zhang T., Zhang Z., Li L., et al. GTAD: a graph-based approach for cell spatial composition inference from integrated scRNA-seq and ST-seq data[J]. Briefings in Bioinformatics, 2024, 25(1): 1-13.</w:t>
      </w:r>
      <w:bookmarkEnd w:id="73"/>
    </w:p>
    <w:p w14:paraId="0F9415A3">
      <w:pPr>
        <w:pStyle w:val="31"/>
        <w:numPr>
          <w:ilvl w:val="0"/>
          <w:numId w:val="3"/>
        </w:numPr>
        <w:spacing w:line="300" w:lineRule="auto"/>
        <w:ind w:firstLineChars="0"/>
        <w:rPr>
          <w:rFonts w:ascii="Times New Roman" w:hAnsi="Times New Roman"/>
          <w:bCs/>
          <w:sz w:val="21"/>
        </w:rPr>
      </w:pPr>
      <w:bookmarkStart w:id="74" w:name="_Ref202173701"/>
      <w:r>
        <w:rPr>
          <w:rFonts w:ascii="Times New Roman" w:hAnsi="Times New Roman"/>
          <w:bCs/>
          <w:sz w:val="21"/>
        </w:rPr>
        <w:t>Li B, Zhang W, Guo C, et al. Benchmarking spatial and single-cell transcriptomics integration methods for transcript distribution prediction and cell type deconvolution[J]. Nature Methods, 2022, 19(6): 662-670.</w:t>
      </w:r>
      <w:bookmarkEnd w:id="74"/>
    </w:p>
    <w:p w14:paraId="3F0EBEB2">
      <w:pPr>
        <w:pStyle w:val="31"/>
        <w:numPr>
          <w:ilvl w:val="0"/>
          <w:numId w:val="3"/>
        </w:numPr>
        <w:spacing w:line="300" w:lineRule="auto"/>
        <w:ind w:firstLineChars="0"/>
        <w:rPr>
          <w:rFonts w:ascii="Times New Roman" w:hAnsi="Times New Roman"/>
          <w:bCs/>
          <w:sz w:val="21"/>
        </w:rPr>
      </w:pPr>
      <w:bookmarkStart w:id="75" w:name="_Ref202901741"/>
      <w:r>
        <w:rPr>
          <w:rFonts w:ascii="Times New Roman" w:hAnsi="Times New Roman"/>
          <w:bCs/>
          <w:sz w:val="21"/>
        </w:rPr>
        <w:t xml:space="preserve">Chen J, Liu W, Luo T, et al. A comprehensive comparison on cell-type composition inference for spatial transcriptomics data[J]. Briefings in Bioinformatics, 2022, 23(4): </w:t>
      </w:r>
      <w:r>
        <w:rPr>
          <w:rFonts w:hint="eastAsia" w:ascii="Times New Roman" w:hAnsi="Times New Roman"/>
          <w:bCs/>
          <w:sz w:val="21"/>
        </w:rPr>
        <w:t>1-18</w:t>
      </w:r>
      <w:r>
        <w:rPr>
          <w:rFonts w:ascii="Times New Roman" w:hAnsi="Times New Roman"/>
          <w:bCs/>
          <w:sz w:val="21"/>
        </w:rPr>
        <w:t>.</w:t>
      </w:r>
      <w:bookmarkEnd w:id="75"/>
    </w:p>
    <w:p w14:paraId="33B67A26">
      <w:pPr>
        <w:pStyle w:val="31"/>
        <w:numPr>
          <w:ilvl w:val="0"/>
          <w:numId w:val="3"/>
        </w:numPr>
        <w:spacing w:line="300" w:lineRule="auto"/>
        <w:ind w:firstLineChars="0"/>
        <w:rPr>
          <w:rFonts w:ascii="Times New Roman" w:hAnsi="Times New Roman"/>
          <w:bCs/>
          <w:sz w:val="21"/>
        </w:rPr>
      </w:pPr>
      <w:bookmarkStart w:id="76" w:name="_Ref202901743"/>
      <w:r>
        <w:rPr>
          <w:rFonts w:ascii="Times New Roman" w:hAnsi="Times New Roman"/>
          <w:bCs/>
          <w:sz w:val="21"/>
        </w:rPr>
        <w:t xml:space="preserve">Yan L, Sun X. Benchmarking and integration of methods for deconvoluting spatial transcriptomic data[J]. Bioinformatics, 2023, 39(1): </w:t>
      </w:r>
      <w:r>
        <w:rPr>
          <w:rFonts w:hint="eastAsia" w:ascii="Times New Roman" w:hAnsi="Times New Roman"/>
          <w:bCs/>
          <w:sz w:val="21"/>
        </w:rPr>
        <w:t>1-8</w:t>
      </w:r>
      <w:r>
        <w:rPr>
          <w:rFonts w:ascii="Times New Roman" w:hAnsi="Times New Roman"/>
          <w:bCs/>
          <w:sz w:val="21"/>
        </w:rPr>
        <w:t>.</w:t>
      </w:r>
      <w:bookmarkEnd w:id="76"/>
    </w:p>
    <w:p w14:paraId="7A78C237">
      <w:pPr>
        <w:pStyle w:val="31"/>
        <w:numPr>
          <w:ilvl w:val="0"/>
          <w:numId w:val="3"/>
        </w:numPr>
        <w:spacing w:line="300" w:lineRule="auto"/>
        <w:ind w:firstLineChars="0"/>
        <w:rPr>
          <w:rFonts w:ascii="Times New Roman" w:hAnsi="Times New Roman"/>
          <w:bCs/>
          <w:sz w:val="21"/>
        </w:rPr>
      </w:pPr>
      <w:bookmarkStart w:id="77" w:name="_Ref202901744"/>
      <w:r>
        <w:rPr>
          <w:rFonts w:ascii="Times New Roman" w:hAnsi="Times New Roman"/>
          <w:bCs/>
          <w:sz w:val="21"/>
        </w:rPr>
        <w:t>Li H, Zhou J, Li Z, et al. A comprehensive benchmarking with practical guidelines for cellular deconvolution of spatial transcriptomics[J]. Nature Communications, 2023, 14(1): 1548.</w:t>
      </w:r>
      <w:bookmarkEnd w:id="77"/>
    </w:p>
    <w:p w14:paraId="05BFC3F3">
      <w:pPr>
        <w:pStyle w:val="31"/>
        <w:numPr>
          <w:ilvl w:val="0"/>
          <w:numId w:val="3"/>
        </w:numPr>
        <w:spacing w:line="300" w:lineRule="auto"/>
        <w:ind w:firstLineChars="0"/>
        <w:rPr>
          <w:rFonts w:ascii="Times New Roman" w:hAnsi="Times New Roman"/>
          <w:bCs/>
          <w:sz w:val="21"/>
        </w:rPr>
      </w:pPr>
      <w:bookmarkStart w:id="78" w:name="_Ref202174194"/>
      <w:r>
        <w:rPr>
          <w:rFonts w:ascii="Times New Roman" w:hAnsi="Times New Roman"/>
          <w:bCs/>
          <w:sz w:val="21"/>
        </w:rPr>
        <w:t xml:space="preserve">Wolf </w:t>
      </w:r>
      <w:r>
        <w:rPr>
          <w:rFonts w:hint="eastAsia" w:ascii="Times New Roman" w:hAnsi="Times New Roman"/>
          <w:bCs/>
          <w:sz w:val="21"/>
        </w:rPr>
        <w:t xml:space="preserve">F </w:t>
      </w:r>
      <w:r>
        <w:rPr>
          <w:rFonts w:ascii="Times New Roman" w:hAnsi="Times New Roman"/>
          <w:bCs/>
          <w:sz w:val="21"/>
        </w:rPr>
        <w:t>A, Angerer P, Theis F J. SCANPY: large-scale single-cell gene expression data analysis [J]. Genome Biology, 2018, 19(1): 1</w:t>
      </w:r>
      <w:r>
        <w:rPr>
          <w:rFonts w:hint="eastAsia" w:ascii="Times New Roman" w:hAnsi="Times New Roman"/>
          <w:bCs/>
          <w:sz w:val="21"/>
        </w:rPr>
        <w:t>-5</w:t>
      </w:r>
      <w:r>
        <w:rPr>
          <w:rFonts w:ascii="Times New Roman" w:hAnsi="Times New Roman"/>
          <w:bCs/>
          <w:sz w:val="21"/>
        </w:rPr>
        <w:t>.</w:t>
      </w:r>
      <w:bookmarkEnd w:id="78"/>
    </w:p>
    <w:p w14:paraId="28CD0072">
      <w:pPr>
        <w:pStyle w:val="31"/>
        <w:numPr>
          <w:ilvl w:val="0"/>
          <w:numId w:val="3"/>
        </w:numPr>
        <w:spacing w:line="300" w:lineRule="auto"/>
        <w:ind w:left="442" w:hanging="442" w:firstLineChars="0"/>
        <w:rPr>
          <w:rFonts w:ascii="Times New Roman" w:hAnsi="Times New Roman"/>
          <w:bCs/>
          <w:sz w:val="21"/>
        </w:rPr>
      </w:pPr>
      <w:bookmarkStart w:id="79" w:name="_Ref202172499"/>
      <w:bookmarkStart w:id="80" w:name="_Ref201864738"/>
      <w:r>
        <w:rPr>
          <w:rFonts w:ascii="Times New Roman" w:hAnsi="Times New Roman"/>
          <w:bCs/>
          <w:sz w:val="21"/>
        </w:rPr>
        <w:t>Lopez R, Boyeau P, Yosef N, et al. Decision-making with auto-encoding variational Bayes[J]. Advances in Neural Information Processing Systems, 2020, 33: 5081–92.</w:t>
      </w:r>
      <w:bookmarkEnd w:id="79"/>
    </w:p>
    <w:p w14:paraId="5B96CD9C">
      <w:pPr>
        <w:pStyle w:val="31"/>
        <w:numPr>
          <w:ilvl w:val="0"/>
          <w:numId w:val="3"/>
        </w:numPr>
        <w:spacing w:line="300" w:lineRule="auto"/>
        <w:ind w:left="442" w:hanging="442" w:firstLineChars="0"/>
        <w:rPr>
          <w:rFonts w:ascii="Times New Roman" w:hAnsi="Times New Roman"/>
          <w:bCs/>
          <w:sz w:val="21"/>
        </w:rPr>
      </w:pPr>
      <w:bookmarkStart w:id="81" w:name="_Ref202174383"/>
      <w:r>
        <w:rPr>
          <w:rFonts w:ascii="Times New Roman" w:hAnsi="Times New Roman"/>
          <w:bCs/>
          <w:sz w:val="21"/>
        </w:rPr>
        <w:t>Xiong L, Tian K, Li Y, et al. Online single-cell data integration through projecting heterogeneous datasets into a common cell-embedding space[J]. Nature Communications, 2022, 13(1): 6118.</w:t>
      </w:r>
      <w:bookmarkEnd w:id="81"/>
    </w:p>
    <w:p w14:paraId="435ABC5A">
      <w:pPr>
        <w:pStyle w:val="31"/>
        <w:numPr>
          <w:ilvl w:val="0"/>
          <w:numId w:val="3"/>
        </w:numPr>
        <w:spacing w:line="300" w:lineRule="auto"/>
        <w:ind w:left="442" w:hanging="442" w:firstLineChars="0"/>
        <w:rPr>
          <w:rFonts w:ascii="Times New Roman" w:hAnsi="Times New Roman"/>
          <w:bCs/>
          <w:sz w:val="21"/>
        </w:rPr>
      </w:pPr>
      <w:bookmarkStart w:id="82" w:name="_Ref202191777"/>
      <w:bookmarkStart w:id="83" w:name="_Ref202172922"/>
      <w:r>
        <w:rPr>
          <w:rFonts w:ascii="Times New Roman" w:hAnsi="Times New Roman"/>
          <w:bCs/>
          <w:sz w:val="21"/>
        </w:rPr>
        <w:t>Tasic B, Yao Z, Graybuck L T, et al. Shared and distinct transcriptomic cell types across neocortical areas[J]. Nature, 2018, 563(7729): 72–78.</w:t>
      </w:r>
      <w:bookmarkEnd w:id="82"/>
    </w:p>
    <w:p w14:paraId="0AF8AB01">
      <w:pPr>
        <w:pStyle w:val="31"/>
        <w:numPr>
          <w:ilvl w:val="0"/>
          <w:numId w:val="3"/>
        </w:numPr>
        <w:spacing w:line="300" w:lineRule="auto"/>
        <w:ind w:left="442" w:hanging="442" w:firstLineChars="0"/>
        <w:rPr>
          <w:rFonts w:ascii="Times New Roman" w:hAnsi="Times New Roman"/>
          <w:bCs/>
          <w:sz w:val="21"/>
        </w:rPr>
      </w:pPr>
      <w:bookmarkStart w:id="84" w:name="_Ref202191788"/>
      <w:r>
        <w:rPr>
          <w:rFonts w:ascii="Times New Roman" w:hAnsi="Times New Roman"/>
          <w:bCs/>
          <w:sz w:val="21"/>
        </w:rPr>
        <w:t>Alon S, Goodwin D R, Sinha A, et al. Expansion sequencing: Spatially precise in situ transcriptomics in intact biological systems[J]. Science, 2021, 371(6528):</w:t>
      </w:r>
      <w:r>
        <w:rPr>
          <w:rFonts w:hint="eastAsia" w:ascii="Times New Roman" w:hAnsi="Times New Roman"/>
          <w:bCs/>
          <w:sz w:val="21"/>
        </w:rPr>
        <w:t>1-14</w:t>
      </w:r>
      <w:r>
        <w:rPr>
          <w:rFonts w:ascii="Times New Roman" w:hAnsi="Times New Roman"/>
          <w:bCs/>
          <w:sz w:val="21"/>
        </w:rPr>
        <w:t>.</w:t>
      </w:r>
      <w:bookmarkEnd w:id="84"/>
    </w:p>
    <w:p w14:paraId="00C504D5">
      <w:pPr>
        <w:pStyle w:val="31"/>
        <w:numPr>
          <w:ilvl w:val="0"/>
          <w:numId w:val="3"/>
        </w:numPr>
        <w:spacing w:line="300" w:lineRule="auto"/>
        <w:ind w:left="442" w:hanging="442" w:firstLineChars="0"/>
        <w:rPr>
          <w:rFonts w:ascii="Times New Roman" w:hAnsi="Times New Roman"/>
          <w:bCs/>
          <w:sz w:val="21"/>
        </w:rPr>
      </w:pPr>
      <w:bookmarkStart w:id="85" w:name="_Ref202191914"/>
      <w:r>
        <w:rPr>
          <w:rFonts w:ascii="Times New Roman" w:hAnsi="Times New Roman"/>
          <w:bCs/>
          <w:sz w:val="21"/>
        </w:rPr>
        <w:t>Eng C H L, Lawson M, Zhu Q, et al. Transcriptome-scale super-resolved imaging in tissues by RNA seqFISH+[J]. Nature, 2019, 568(7751): 235–239.</w:t>
      </w:r>
      <w:bookmarkEnd w:id="85"/>
    </w:p>
    <w:p w14:paraId="21570D16">
      <w:pPr>
        <w:pStyle w:val="31"/>
        <w:numPr>
          <w:ilvl w:val="0"/>
          <w:numId w:val="3"/>
        </w:numPr>
        <w:spacing w:line="300" w:lineRule="auto"/>
        <w:ind w:left="442" w:hanging="442" w:firstLineChars="0"/>
        <w:rPr>
          <w:rFonts w:ascii="Times New Roman" w:hAnsi="Times New Roman"/>
          <w:bCs/>
          <w:sz w:val="21"/>
        </w:rPr>
      </w:pPr>
      <w:bookmarkStart w:id="86" w:name="_Ref202807758"/>
      <w:r>
        <w:rPr>
          <w:rFonts w:ascii="Times New Roman" w:hAnsi="Times New Roman"/>
          <w:bCs/>
          <w:sz w:val="21"/>
        </w:rPr>
        <w:t>Stuart T, Butler A, Hoffman P, et al. Comprehensive integration of single-cell data[J]. Cell, 2019, 177(7): 1888-1902.</w:t>
      </w:r>
      <w:bookmarkEnd w:id="83"/>
      <w:bookmarkEnd w:id="86"/>
    </w:p>
    <w:p w14:paraId="239DD731">
      <w:pPr>
        <w:pStyle w:val="31"/>
        <w:numPr>
          <w:ilvl w:val="0"/>
          <w:numId w:val="3"/>
        </w:numPr>
        <w:spacing w:line="300" w:lineRule="auto"/>
        <w:ind w:left="442" w:hanging="442" w:firstLineChars="0"/>
        <w:rPr>
          <w:rFonts w:ascii="Times New Roman" w:hAnsi="Times New Roman"/>
          <w:bCs/>
          <w:sz w:val="21"/>
        </w:rPr>
      </w:pPr>
      <w:bookmarkStart w:id="87" w:name="_Ref202172940"/>
      <w:r>
        <w:rPr>
          <w:rFonts w:ascii="Times New Roman" w:hAnsi="Times New Roman"/>
          <w:bCs/>
          <w:sz w:val="21"/>
        </w:rPr>
        <w:t>Ma Y, Zhou X. Spatially informed cell-type deconvolution for spatial transcriptomics[J]. Nature Biotechnology, 2022, 40: 1349–1359.</w:t>
      </w:r>
      <w:bookmarkEnd w:id="87"/>
    </w:p>
    <w:p w14:paraId="79553BBE">
      <w:pPr>
        <w:pStyle w:val="31"/>
        <w:numPr>
          <w:ilvl w:val="0"/>
          <w:numId w:val="3"/>
        </w:numPr>
        <w:spacing w:line="300" w:lineRule="auto"/>
        <w:ind w:left="442" w:hanging="442" w:firstLineChars="0"/>
        <w:rPr>
          <w:rFonts w:ascii="Times New Roman" w:hAnsi="Times New Roman"/>
          <w:bCs/>
          <w:sz w:val="21"/>
        </w:rPr>
      </w:pPr>
      <w:bookmarkStart w:id="88" w:name="_Ref202173144"/>
      <w:r>
        <w:rPr>
          <w:rFonts w:ascii="Times New Roman" w:hAnsi="Times New Roman"/>
          <w:bCs/>
          <w:sz w:val="21"/>
        </w:rPr>
        <w:t>Biancalani T, Scalia G, Buffoni L, et al. Deep learning and alignment of spatially resolved single-cell transcriptomes with Tangram[J]. Nature Methods, 2021, 18(11): 1352–1362.</w:t>
      </w:r>
      <w:bookmarkEnd w:id="80"/>
      <w:bookmarkEnd w:id="88"/>
    </w:p>
    <w:p w14:paraId="55E1CE69">
      <w:pPr>
        <w:pStyle w:val="31"/>
        <w:numPr>
          <w:ilvl w:val="0"/>
          <w:numId w:val="3"/>
        </w:numPr>
        <w:spacing w:line="300" w:lineRule="auto"/>
        <w:ind w:left="442" w:hanging="442" w:firstLineChars="0"/>
        <w:rPr>
          <w:rFonts w:ascii="Times New Roman" w:hAnsi="Times New Roman"/>
          <w:bCs/>
          <w:sz w:val="21"/>
        </w:rPr>
      </w:pPr>
      <w:bookmarkStart w:id="89" w:name="_Ref201802838"/>
      <w:r>
        <w:rPr>
          <w:rFonts w:ascii="Times New Roman" w:hAnsi="Times New Roman"/>
          <w:bCs/>
          <w:sz w:val="21"/>
        </w:rPr>
        <w:t xml:space="preserve">Lopez R, Li B, Keren-Shaul H, et al. </w:t>
      </w:r>
      <w:bookmarkStart w:id="90" w:name="OLE_LINK19"/>
      <w:r>
        <w:rPr>
          <w:rFonts w:ascii="Times New Roman" w:hAnsi="Times New Roman"/>
          <w:bCs/>
          <w:sz w:val="21"/>
        </w:rPr>
        <w:t>DestVI</w:t>
      </w:r>
      <w:bookmarkEnd w:id="90"/>
      <w:r>
        <w:rPr>
          <w:rFonts w:ascii="Times New Roman" w:hAnsi="Times New Roman"/>
          <w:bCs/>
          <w:sz w:val="21"/>
        </w:rPr>
        <w:t>: identifies continuums of cell types in spatial transcriptomics data[J]. Nature Biotechnology, 2022, 40: 1360-1369.</w:t>
      </w:r>
      <w:bookmarkEnd w:id="89"/>
    </w:p>
    <w:p w14:paraId="08966AD0">
      <w:pPr>
        <w:pStyle w:val="31"/>
        <w:numPr>
          <w:ilvl w:val="0"/>
          <w:numId w:val="3"/>
        </w:numPr>
        <w:spacing w:line="300" w:lineRule="auto"/>
        <w:ind w:left="442" w:hanging="442" w:firstLineChars="0"/>
        <w:rPr>
          <w:rFonts w:ascii="Times New Roman" w:hAnsi="Times New Roman"/>
          <w:bCs/>
          <w:sz w:val="21"/>
        </w:rPr>
      </w:pPr>
      <w:bookmarkStart w:id="91" w:name="_Ref201803224"/>
      <w:r>
        <w:rPr>
          <w:rFonts w:ascii="Times New Roman" w:hAnsi="Times New Roman"/>
          <w:bCs/>
          <w:sz w:val="21"/>
        </w:rPr>
        <w:t xml:space="preserve">Yin W, Wan Y, Zhou Y. </w:t>
      </w:r>
      <w:bookmarkStart w:id="92" w:name="OLE_LINK20"/>
      <w:r>
        <w:rPr>
          <w:rFonts w:ascii="Times New Roman" w:hAnsi="Times New Roman"/>
          <w:bCs/>
          <w:sz w:val="21"/>
        </w:rPr>
        <w:t>SpatialcoGCN:</w:t>
      </w:r>
      <w:bookmarkEnd w:id="92"/>
      <w:r>
        <w:rPr>
          <w:rFonts w:ascii="Times New Roman" w:hAnsi="Times New Roman"/>
          <w:bCs/>
          <w:sz w:val="21"/>
        </w:rPr>
        <w:t xml:space="preserve"> deconvolution and spatial information-aware simulation of spatial transcriptomics data via deep graph co-embedding[J]. Briefings in Bioinformatics, 2024, 25(3): 1-24.</w:t>
      </w:r>
      <w:bookmarkEnd w:id="91"/>
      <w:r>
        <w:rPr>
          <w:rFonts w:ascii="Times New Roman" w:hAnsi="Times New Roman"/>
          <w:bCs/>
          <w:sz w:val="21"/>
        </w:rPr>
        <w:t xml:space="preserve"> </w:t>
      </w:r>
      <w:bookmarkEnd w:id="38"/>
    </w:p>
    <w:sectPr>
      <w:pgSz w:w="11906" w:h="16838"/>
      <w:pgMar w:top="1440" w:right="1797" w:bottom="1440" w:left="1797" w:header="851" w:footer="992"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Wingdings 2">
    <w:altName w:val="Wingdings"/>
    <w:panose1 w:val="050201020105070707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9261732"/>
      <w:docPartObj>
        <w:docPartGallery w:val="autotext"/>
      </w:docPartObj>
    </w:sdtPr>
    <w:sdtContent>
      <w:p w14:paraId="37EBB063">
        <w:pPr>
          <w:pStyle w:val="10"/>
          <w:jc w:val="center"/>
        </w:pPr>
        <w:r>
          <w:fldChar w:fldCharType="begin"/>
        </w:r>
        <w:r>
          <w:instrText xml:space="preserve">PAGE   \* MERGEFORMAT</w:instrText>
        </w:r>
        <w:r>
          <w:fldChar w:fldCharType="separate"/>
        </w:r>
        <w:r>
          <w:rPr>
            <w:lang w:val="zh-CN"/>
          </w:rPr>
          <w:t>2</w:t>
        </w:r>
        <w:r>
          <w:fldChar w:fldCharType="end"/>
        </w:r>
      </w:p>
    </w:sdtContent>
  </w:sdt>
  <w:p w14:paraId="2619DD01">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A09D5">
    <w:pPr>
      <w:pBdr>
        <w:bottom w:val="thickThinSmallGap" w:color="auto" w:sz="12" w:space="1"/>
      </w:pBdr>
      <w:tabs>
        <w:tab w:val="center" w:pos="4153"/>
        <w:tab w:val="right" w:pos="8306"/>
      </w:tabs>
      <w:snapToGrid w:val="0"/>
      <w:spacing w:after="360" w:afterLines="150"/>
      <w:jc w:val="center"/>
      <w:rPr>
        <w:rFonts w:hint="eastAsia" w:ascii="黑体" w:hAnsi="黑体" w:eastAsia="黑体" w:cs="黑体"/>
        <w:spacing w:val="17"/>
        <w:sz w:val="32"/>
        <w:szCs w:val="32"/>
      </w:rPr>
    </w:pPr>
    <w:r>
      <w:rPr>
        <w:rFonts w:hint="eastAsia" w:ascii="黑体" w:hAnsi="黑体" w:eastAsia="黑体" w:cs="黑体"/>
        <w:spacing w:val="17"/>
        <w:sz w:val="32"/>
        <w:szCs w:val="32"/>
      </w:rPr>
      <w:t>河北工业大学研究生学位论文中期报告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5"/>
      <w:lvlText w:val="%1."/>
      <w:lvlJc w:val="left"/>
      <w:pPr>
        <w:tabs>
          <w:tab w:val="left" w:pos="360"/>
        </w:tabs>
        <w:ind w:left="360" w:hanging="360" w:hangingChars="200"/>
      </w:pPr>
    </w:lvl>
  </w:abstractNum>
  <w:abstractNum w:abstractNumId="1">
    <w:nsid w:val="179E32B1"/>
    <w:multiLevelType w:val="multilevel"/>
    <w:tmpl w:val="179E32B1"/>
    <w:lvl w:ilvl="0" w:tentative="0">
      <w:start w:val="1"/>
      <w:numFmt w:val="japaneseCounting"/>
      <w:lvlText w:val="%1、"/>
      <w:lvlJc w:val="left"/>
      <w:pPr>
        <w:ind w:left="750" w:hanging="75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BEF490B"/>
    <w:multiLevelType w:val="multilevel"/>
    <w:tmpl w:val="4BEF490B"/>
    <w:lvl w:ilvl="0" w:tentative="0">
      <w:start w:val="1"/>
      <w:numFmt w:val="decimal"/>
      <w:lvlText w:val="[%1]"/>
      <w:lvlJc w:val="left"/>
      <w:pPr>
        <w:ind w:left="440" w:hanging="440"/>
      </w:pPr>
      <w:rPr>
        <w:rFonts w:hint="eastAsia"/>
        <w:color w:val="auto"/>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42B"/>
    <w:rsid w:val="00004254"/>
    <w:rsid w:val="000122CF"/>
    <w:rsid w:val="00014176"/>
    <w:rsid w:val="00015A9E"/>
    <w:rsid w:val="00032062"/>
    <w:rsid w:val="00035BFD"/>
    <w:rsid w:val="000376F0"/>
    <w:rsid w:val="00044DCC"/>
    <w:rsid w:val="00045572"/>
    <w:rsid w:val="000457F3"/>
    <w:rsid w:val="00045DDA"/>
    <w:rsid w:val="00047121"/>
    <w:rsid w:val="00051047"/>
    <w:rsid w:val="000520C8"/>
    <w:rsid w:val="00056C00"/>
    <w:rsid w:val="00061E87"/>
    <w:rsid w:val="000813F9"/>
    <w:rsid w:val="000819FD"/>
    <w:rsid w:val="00082F6F"/>
    <w:rsid w:val="000915EA"/>
    <w:rsid w:val="000A0755"/>
    <w:rsid w:val="000A082F"/>
    <w:rsid w:val="000B0EEF"/>
    <w:rsid w:val="000B48FD"/>
    <w:rsid w:val="000B759C"/>
    <w:rsid w:val="000B75ED"/>
    <w:rsid w:val="000C00D4"/>
    <w:rsid w:val="000C1112"/>
    <w:rsid w:val="000C47CD"/>
    <w:rsid w:val="000D2B11"/>
    <w:rsid w:val="000D3411"/>
    <w:rsid w:val="000E539E"/>
    <w:rsid w:val="000E6395"/>
    <w:rsid w:val="000F558A"/>
    <w:rsid w:val="000F642F"/>
    <w:rsid w:val="00107183"/>
    <w:rsid w:val="00107FAE"/>
    <w:rsid w:val="0011253F"/>
    <w:rsid w:val="001126CF"/>
    <w:rsid w:val="00120339"/>
    <w:rsid w:val="00120A2B"/>
    <w:rsid w:val="00125523"/>
    <w:rsid w:val="0012552A"/>
    <w:rsid w:val="00125FF8"/>
    <w:rsid w:val="00127244"/>
    <w:rsid w:val="001326F5"/>
    <w:rsid w:val="00134440"/>
    <w:rsid w:val="0014096D"/>
    <w:rsid w:val="00142EE5"/>
    <w:rsid w:val="0014511D"/>
    <w:rsid w:val="00147C04"/>
    <w:rsid w:val="001525D8"/>
    <w:rsid w:val="001719E7"/>
    <w:rsid w:val="001727C8"/>
    <w:rsid w:val="001734C6"/>
    <w:rsid w:val="00174009"/>
    <w:rsid w:val="001758EF"/>
    <w:rsid w:val="00175F7B"/>
    <w:rsid w:val="0017669C"/>
    <w:rsid w:val="00181421"/>
    <w:rsid w:val="00181AC3"/>
    <w:rsid w:val="00183AF3"/>
    <w:rsid w:val="001A5D4D"/>
    <w:rsid w:val="001A75EE"/>
    <w:rsid w:val="001B4B15"/>
    <w:rsid w:val="001B7C54"/>
    <w:rsid w:val="001C104A"/>
    <w:rsid w:val="001C1FED"/>
    <w:rsid w:val="001C6CF7"/>
    <w:rsid w:val="001D1CA1"/>
    <w:rsid w:val="001D43D6"/>
    <w:rsid w:val="001D542B"/>
    <w:rsid w:val="001D59E7"/>
    <w:rsid w:val="001D5B56"/>
    <w:rsid w:val="001D76A4"/>
    <w:rsid w:val="001E1D18"/>
    <w:rsid w:val="001E2726"/>
    <w:rsid w:val="001F14B7"/>
    <w:rsid w:val="00200EA8"/>
    <w:rsid w:val="002058ED"/>
    <w:rsid w:val="0021554E"/>
    <w:rsid w:val="00215FB9"/>
    <w:rsid w:val="0022082A"/>
    <w:rsid w:val="002245A7"/>
    <w:rsid w:val="00227162"/>
    <w:rsid w:val="00230D5B"/>
    <w:rsid w:val="00244AF7"/>
    <w:rsid w:val="00254A02"/>
    <w:rsid w:val="00261A06"/>
    <w:rsid w:val="00261FCA"/>
    <w:rsid w:val="00267FB3"/>
    <w:rsid w:val="00283414"/>
    <w:rsid w:val="00286C04"/>
    <w:rsid w:val="0029129B"/>
    <w:rsid w:val="00296008"/>
    <w:rsid w:val="00297EF4"/>
    <w:rsid w:val="002A0C83"/>
    <w:rsid w:val="002A35B8"/>
    <w:rsid w:val="002B3687"/>
    <w:rsid w:val="002C2C6B"/>
    <w:rsid w:val="002C41FF"/>
    <w:rsid w:val="002C562D"/>
    <w:rsid w:val="002C5FF6"/>
    <w:rsid w:val="002D35A9"/>
    <w:rsid w:val="002D61C5"/>
    <w:rsid w:val="002E04EC"/>
    <w:rsid w:val="002E32FB"/>
    <w:rsid w:val="002F250F"/>
    <w:rsid w:val="002F25A7"/>
    <w:rsid w:val="002F45F1"/>
    <w:rsid w:val="00300C5A"/>
    <w:rsid w:val="00311D2D"/>
    <w:rsid w:val="003205A0"/>
    <w:rsid w:val="00320BB0"/>
    <w:rsid w:val="00321EAF"/>
    <w:rsid w:val="00323AB0"/>
    <w:rsid w:val="00323ABA"/>
    <w:rsid w:val="003300E8"/>
    <w:rsid w:val="00330C8A"/>
    <w:rsid w:val="00333676"/>
    <w:rsid w:val="00333DFB"/>
    <w:rsid w:val="0035398C"/>
    <w:rsid w:val="003602D8"/>
    <w:rsid w:val="00361D18"/>
    <w:rsid w:val="00362FCF"/>
    <w:rsid w:val="003637B9"/>
    <w:rsid w:val="00367B2D"/>
    <w:rsid w:val="0037016C"/>
    <w:rsid w:val="003726F9"/>
    <w:rsid w:val="003738B2"/>
    <w:rsid w:val="0038207B"/>
    <w:rsid w:val="00385634"/>
    <w:rsid w:val="003A6307"/>
    <w:rsid w:val="003B312A"/>
    <w:rsid w:val="003C0410"/>
    <w:rsid w:val="003C58BA"/>
    <w:rsid w:val="003C7FAB"/>
    <w:rsid w:val="003D3A47"/>
    <w:rsid w:val="003E2CEE"/>
    <w:rsid w:val="003F37C7"/>
    <w:rsid w:val="003F702F"/>
    <w:rsid w:val="00416F56"/>
    <w:rsid w:val="00430F75"/>
    <w:rsid w:val="00435E23"/>
    <w:rsid w:val="004377AB"/>
    <w:rsid w:val="00443873"/>
    <w:rsid w:val="00452654"/>
    <w:rsid w:val="004537C8"/>
    <w:rsid w:val="00454913"/>
    <w:rsid w:val="00455F00"/>
    <w:rsid w:val="00456E29"/>
    <w:rsid w:val="00470A1A"/>
    <w:rsid w:val="00491FE5"/>
    <w:rsid w:val="004927DA"/>
    <w:rsid w:val="00496DB1"/>
    <w:rsid w:val="004B7A00"/>
    <w:rsid w:val="004C10C7"/>
    <w:rsid w:val="004C206B"/>
    <w:rsid w:val="004C26FA"/>
    <w:rsid w:val="004D0C7C"/>
    <w:rsid w:val="004E4749"/>
    <w:rsid w:val="004E5045"/>
    <w:rsid w:val="004F5D18"/>
    <w:rsid w:val="005000F5"/>
    <w:rsid w:val="0050096D"/>
    <w:rsid w:val="005027F1"/>
    <w:rsid w:val="00502C02"/>
    <w:rsid w:val="00506596"/>
    <w:rsid w:val="005074EE"/>
    <w:rsid w:val="00507CB1"/>
    <w:rsid w:val="00514ADF"/>
    <w:rsid w:val="00516838"/>
    <w:rsid w:val="00517BDE"/>
    <w:rsid w:val="0052142B"/>
    <w:rsid w:val="005216E6"/>
    <w:rsid w:val="0052185C"/>
    <w:rsid w:val="0052460D"/>
    <w:rsid w:val="00527EC0"/>
    <w:rsid w:val="00532CBF"/>
    <w:rsid w:val="00533094"/>
    <w:rsid w:val="00533C53"/>
    <w:rsid w:val="0053718B"/>
    <w:rsid w:val="0053727B"/>
    <w:rsid w:val="00541CBE"/>
    <w:rsid w:val="00543A07"/>
    <w:rsid w:val="00546939"/>
    <w:rsid w:val="005518F3"/>
    <w:rsid w:val="00551D09"/>
    <w:rsid w:val="00553654"/>
    <w:rsid w:val="00573288"/>
    <w:rsid w:val="00586AB1"/>
    <w:rsid w:val="00590298"/>
    <w:rsid w:val="005921D0"/>
    <w:rsid w:val="00593774"/>
    <w:rsid w:val="00597ED0"/>
    <w:rsid w:val="005A191E"/>
    <w:rsid w:val="005A64E8"/>
    <w:rsid w:val="005A6C71"/>
    <w:rsid w:val="005B3FB8"/>
    <w:rsid w:val="005C0C59"/>
    <w:rsid w:val="005D26D5"/>
    <w:rsid w:val="005D27F3"/>
    <w:rsid w:val="005D2AF5"/>
    <w:rsid w:val="005D63DA"/>
    <w:rsid w:val="005D7193"/>
    <w:rsid w:val="005E3F2A"/>
    <w:rsid w:val="005E7348"/>
    <w:rsid w:val="005E7B0E"/>
    <w:rsid w:val="005F19E3"/>
    <w:rsid w:val="005F2751"/>
    <w:rsid w:val="005F3DDC"/>
    <w:rsid w:val="00603C5F"/>
    <w:rsid w:val="00605FF2"/>
    <w:rsid w:val="00607207"/>
    <w:rsid w:val="00610532"/>
    <w:rsid w:val="0061296B"/>
    <w:rsid w:val="00614AC7"/>
    <w:rsid w:val="0062190A"/>
    <w:rsid w:val="00624980"/>
    <w:rsid w:val="006275A2"/>
    <w:rsid w:val="00627C21"/>
    <w:rsid w:val="00634468"/>
    <w:rsid w:val="0063485F"/>
    <w:rsid w:val="00644BA3"/>
    <w:rsid w:val="00652DAF"/>
    <w:rsid w:val="00653BC0"/>
    <w:rsid w:val="006549B4"/>
    <w:rsid w:val="00657D95"/>
    <w:rsid w:val="006644D1"/>
    <w:rsid w:val="00664AB9"/>
    <w:rsid w:val="006810C0"/>
    <w:rsid w:val="006851B0"/>
    <w:rsid w:val="00685E91"/>
    <w:rsid w:val="006873F7"/>
    <w:rsid w:val="006934FF"/>
    <w:rsid w:val="006A107C"/>
    <w:rsid w:val="006A18D2"/>
    <w:rsid w:val="006A2444"/>
    <w:rsid w:val="006A4A69"/>
    <w:rsid w:val="006A6DD3"/>
    <w:rsid w:val="006B0BFD"/>
    <w:rsid w:val="006B1A2C"/>
    <w:rsid w:val="006B3DBF"/>
    <w:rsid w:val="006B49D0"/>
    <w:rsid w:val="006B6603"/>
    <w:rsid w:val="006C0B25"/>
    <w:rsid w:val="006D0FD0"/>
    <w:rsid w:val="006E0662"/>
    <w:rsid w:val="006E2B71"/>
    <w:rsid w:val="006F093E"/>
    <w:rsid w:val="006F1CCA"/>
    <w:rsid w:val="006F3311"/>
    <w:rsid w:val="006F4F95"/>
    <w:rsid w:val="00705141"/>
    <w:rsid w:val="00705556"/>
    <w:rsid w:val="007061EE"/>
    <w:rsid w:val="007108DC"/>
    <w:rsid w:val="00711D64"/>
    <w:rsid w:val="00712DEA"/>
    <w:rsid w:val="00715DDF"/>
    <w:rsid w:val="00717E4E"/>
    <w:rsid w:val="00724BDA"/>
    <w:rsid w:val="00730934"/>
    <w:rsid w:val="007446D2"/>
    <w:rsid w:val="00754DAE"/>
    <w:rsid w:val="00757998"/>
    <w:rsid w:val="007641EE"/>
    <w:rsid w:val="007762A8"/>
    <w:rsid w:val="00777A43"/>
    <w:rsid w:val="00777EB9"/>
    <w:rsid w:val="00786271"/>
    <w:rsid w:val="00791B37"/>
    <w:rsid w:val="007938CD"/>
    <w:rsid w:val="007967E8"/>
    <w:rsid w:val="0079751B"/>
    <w:rsid w:val="007B44C7"/>
    <w:rsid w:val="007D0CB6"/>
    <w:rsid w:val="007D14A5"/>
    <w:rsid w:val="007D2C65"/>
    <w:rsid w:val="007E4467"/>
    <w:rsid w:val="007E688B"/>
    <w:rsid w:val="007F0889"/>
    <w:rsid w:val="007F4249"/>
    <w:rsid w:val="00800E0E"/>
    <w:rsid w:val="00801F92"/>
    <w:rsid w:val="00802AA7"/>
    <w:rsid w:val="008044CE"/>
    <w:rsid w:val="00804B91"/>
    <w:rsid w:val="00807673"/>
    <w:rsid w:val="00822267"/>
    <w:rsid w:val="00836607"/>
    <w:rsid w:val="00843938"/>
    <w:rsid w:val="0084612A"/>
    <w:rsid w:val="00850E7B"/>
    <w:rsid w:val="008532D4"/>
    <w:rsid w:val="008655BF"/>
    <w:rsid w:val="008657C6"/>
    <w:rsid w:val="00870EF4"/>
    <w:rsid w:val="008711A8"/>
    <w:rsid w:val="008719D3"/>
    <w:rsid w:val="00871FA6"/>
    <w:rsid w:val="008739C5"/>
    <w:rsid w:val="00876EFE"/>
    <w:rsid w:val="00877E6C"/>
    <w:rsid w:val="0089077B"/>
    <w:rsid w:val="00893B9C"/>
    <w:rsid w:val="00895F8F"/>
    <w:rsid w:val="008B3264"/>
    <w:rsid w:val="008B390E"/>
    <w:rsid w:val="008B6B64"/>
    <w:rsid w:val="008C5AAF"/>
    <w:rsid w:val="008E382E"/>
    <w:rsid w:val="008F41D9"/>
    <w:rsid w:val="008F4270"/>
    <w:rsid w:val="00900120"/>
    <w:rsid w:val="009004D7"/>
    <w:rsid w:val="0090380B"/>
    <w:rsid w:val="00904AE4"/>
    <w:rsid w:val="00915834"/>
    <w:rsid w:val="00917C34"/>
    <w:rsid w:val="009279AE"/>
    <w:rsid w:val="00930B44"/>
    <w:rsid w:val="00931CAE"/>
    <w:rsid w:val="009512BA"/>
    <w:rsid w:val="00955848"/>
    <w:rsid w:val="0095735E"/>
    <w:rsid w:val="00961D0C"/>
    <w:rsid w:val="00964D79"/>
    <w:rsid w:val="009731CD"/>
    <w:rsid w:val="00973911"/>
    <w:rsid w:val="00975FD5"/>
    <w:rsid w:val="00983835"/>
    <w:rsid w:val="00991423"/>
    <w:rsid w:val="00996516"/>
    <w:rsid w:val="009A1B7A"/>
    <w:rsid w:val="009A3C56"/>
    <w:rsid w:val="009A7CFA"/>
    <w:rsid w:val="009B3AA3"/>
    <w:rsid w:val="009C2B8E"/>
    <w:rsid w:val="009C52AF"/>
    <w:rsid w:val="009C72EF"/>
    <w:rsid w:val="009D175E"/>
    <w:rsid w:val="009D431B"/>
    <w:rsid w:val="009E0B96"/>
    <w:rsid w:val="009E0DF0"/>
    <w:rsid w:val="009E65C1"/>
    <w:rsid w:val="009F164F"/>
    <w:rsid w:val="009F21E7"/>
    <w:rsid w:val="009F4902"/>
    <w:rsid w:val="009F5B70"/>
    <w:rsid w:val="009F7150"/>
    <w:rsid w:val="00A005BA"/>
    <w:rsid w:val="00A02BF6"/>
    <w:rsid w:val="00A03D3C"/>
    <w:rsid w:val="00A058FA"/>
    <w:rsid w:val="00A1540C"/>
    <w:rsid w:val="00A1562F"/>
    <w:rsid w:val="00A17C5C"/>
    <w:rsid w:val="00A17C84"/>
    <w:rsid w:val="00A17D8D"/>
    <w:rsid w:val="00A433AF"/>
    <w:rsid w:val="00A4647C"/>
    <w:rsid w:val="00A517B5"/>
    <w:rsid w:val="00A62F71"/>
    <w:rsid w:val="00A93A8A"/>
    <w:rsid w:val="00AA2A8B"/>
    <w:rsid w:val="00AB1B0F"/>
    <w:rsid w:val="00AB5915"/>
    <w:rsid w:val="00AB6749"/>
    <w:rsid w:val="00AB7F52"/>
    <w:rsid w:val="00AD0247"/>
    <w:rsid w:val="00AD063D"/>
    <w:rsid w:val="00AD2ACA"/>
    <w:rsid w:val="00AE034D"/>
    <w:rsid w:val="00AE1715"/>
    <w:rsid w:val="00AE1FB6"/>
    <w:rsid w:val="00AE34DE"/>
    <w:rsid w:val="00AF5A96"/>
    <w:rsid w:val="00B00007"/>
    <w:rsid w:val="00B123B4"/>
    <w:rsid w:val="00B24475"/>
    <w:rsid w:val="00B260E1"/>
    <w:rsid w:val="00B26161"/>
    <w:rsid w:val="00B37A27"/>
    <w:rsid w:val="00B41807"/>
    <w:rsid w:val="00B41E12"/>
    <w:rsid w:val="00B50B0E"/>
    <w:rsid w:val="00B50D83"/>
    <w:rsid w:val="00B614EC"/>
    <w:rsid w:val="00B70F39"/>
    <w:rsid w:val="00B72BD4"/>
    <w:rsid w:val="00B73B2F"/>
    <w:rsid w:val="00B84C92"/>
    <w:rsid w:val="00B876B4"/>
    <w:rsid w:val="00B926D5"/>
    <w:rsid w:val="00B94683"/>
    <w:rsid w:val="00B97579"/>
    <w:rsid w:val="00BA15F8"/>
    <w:rsid w:val="00BA3EAC"/>
    <w:rsid w:val="00BA45D8"/>
    <w:rsid w:val="00BB4CCF"/>
    <w:rsid w:val="00BC1B9B"/>
    <w:rsid w:val="00BC3D58"/>
    <w:rsid w:val="00BC64CB"/>
    <w:rsid w:val="00BC6D47"/>
    <w:rsid w:val="00BC788F"/>
    <w:rsid w:val="00BD5D02"/>
    <w:rsid w:val="00BE0F34"/>
    <w:rsid w:val="00BE5B99"/>
    <w:rsid w:val="00BE76BF"/>
    <w:rsid w:val="00BF4AB3"/>
    <w:rsid w:val="00BF4CAC"/>
    <w:rsid w:val="00C10565"/>
    <w:rsid w:val="00C12BF6"/>
    <w:rsid w:val="00C1545B"/>
    <w:rsid w:val="00C2175C"/>
    <w:rsid w:val="00C234B1"/>
    <w:rsid w:val="00C344F3"/>
    <w:rsid w:val="00C3491F"/>
    <w:rsid w:val="00C4083D"/>
    <w:rsid w:val="00C4647C"/>
    <w:rsid w:val="00C47CFC"/>
    <w:rsid w:val="00C644FC"/>
    <w:rsid w:val="00C76484"/>
    <w:rsid w:val="00C8386E"/>
    <w:rsid w:val="00CA0150"/>
    <w:rsid w:val="00CA0B58"/>
    <w:rsid w:val="00CA357C"/>
    <w:rsid w:val="00CB396C"/>
    <w:rsid w:val="00CC0A28"/>
    <w:rsid w:val="00CC314D"/>
    <w:rsid w:val="00CC38F9"/>
    <w:rsid w:val="00CD2C77"/>
    <w:rsid w:val="00CF1B7A"/>
    <w:rsid w:val="00D04715"/>
    <w:rsid w:val="00D064EB"/>
    <w:rsid w:val="00D161B0"/>
    <w:rsid w:val="00D269F8"/>
    <w:rsid w:val="00D33AB8"/>
    <w:rsid w:val="00D35FAE"/>
    <w:rsid w:val="00D4343E"/>
    <w:rsid w:val="00D53741"/>
    <w:rsid w:val="00D53C07"/>
    <w:rsid w:val="00D56117"/>
    <w:rsid w:val="00D56BAC"/>
    <w:rsid w:val="00D606C2"/>
    <w:rsid w:val="00D62CE3"/>
    <w:rsid w:val="00D63FFD"/>
    <w:rsid w:val="00D72383"/>
    <w:rsid w:val="00D740F3"/>
    <w:rsid w:val="00DC652D"/>
    <w:rsid w:val="00DC7EDF"/>
    <w:rsid w:val="00DD0D83"/>
    <w:rsid w:val="00DD328A"/>
    <w:rsid w:val="00DD5358"/>
    <w:rsid w:val="00DD559E"/>
    <w:rsid w:val="00DE7DB2"/>
    <w:rsid w:val="00DF2FA6"/>
    <w:rsid w:val="00E145C1"/>
    <w:rsid w:val="00E27AAC"/>
    <w:rsid w:val="00E31D47"/>
    <w:rsid w:val="00E46F17"/>
    <w:rsid w:val="00E73FBE"/>
    <w:rsid w:val="00E82418"/>
    <w:rsid w:val="00E94532"/>
    <w:rsid w:val="00E953E3"/>
    <w:rsid w:val="00E979F5"/>
    <w:rsid w:val="00EA0231"/>
    <w:rsid w:val="00EA5513"/>
    <w:rsid w:val="00EB0D70"/>
    <w:rsid w:val="00EB21ED"/>
    <w:rsid w:val="00EB2D1F"/>
    <w:rsid w:val="00EB4341"/>
    <w:rsid w:val="00EB76AD"/>
    <w:rsid w:val="00EC4EBD"/>
    <w:rsid w:val="00EC7A0E"/>
    <w:rsid w:val="00ED22C0"/>
    <w:rsid w:val="00EE1276"/>
    <w:rsid w:val="00EE1B2A"/>
    <w:rsid w:val="00EE1D3A"/>
    <w:rsid w:val="00EE2930"/>
    <w:rsid w:val="00EE42E0"/>
    <w:rsid w:val="00EE548D"/>
    <w:rsid w:val="00EE72CB"/>
    <w:rsid w:val="00EE733E"/>
    <w:rsid w:val="00EF14A8"/>
    <w:rsid w:val="00F00CAB"/>
    <w:rsid w:val="00F04FFD"/>
    <w:rsid w:val="00F06075"/>
    <w:rsid w:val="00F2320C"/>
    <w:rsid w:val="00F23DCA"/>
    <w:rsid w:val="00F32D2F"/>
    <w:rsid w:val="00F338B9"/>
    <w:rsid w:val="00F518AC"/>
    <w:rsid w:val="00F611FC"/>
    <w:rsid w:val="00F6221F"/>
    <w:rsid w:val="00F63399"/>
    <w:rsid w:val="00F67DB6"/>
    <w:rsid w:val="00F70384"/>
    <w:rsid w:val="00F7417F"/>
    <w:rsid w:val="00F81141"/>
    <w:rsid w:val="00F81DEC"/>
    <w:rsid w:val="00F9127A"/>
    <w:rsid w:val="00F92138"/>
    <w:rsid w:val="00F93FCE"/>
    <w:rsid w:val="00F96415"/>
    <w:rsid w:val="00FA04A6"/>
    <w:rsid w:val="00FA1CF9"/>
    <w:rsid w:val="00FA4CDD"/>
    <w:rsid w:val="00FA6675"/>
    <w:rsid w:val="00FB7A2C"/>
    <w:rsid w:val="00FC20D6"/>
    <w:rsid w:val="00FC277F"/>
    <w:rsid w:val="00FC702F"/>
    <w:rsid w:val="00FD15C7"/>
    <w:rsid w:val="00FD22A5"/>
    <w:rsid w:val="00FD69DB"/>
    <w:rsid w:val="00FE25FA"/>
    <w:rsid w:val="00FE2F4D"/>
    <w:rsid w:val="00FE5686"/>
    <w:rsid w:val="00FE62C1"/>
    <w:rsid w:val="00FE6CE0"/>
    <w:rsid w:val="00FF09A5"/>
    <w:rsid w:val="025C30FA"/>
    <w:rsid w:val="02985214"/>
    <w:rsid w:val="03993510"/>
    <w:rsid w:val="03EB7054"/>
    <w:rsid w:val="06740B7E"/>
    <w:rsid w:val="06922733"/>
    <w:rsid w:val="091647BE"/>
    <w:rsid w:val="094B5940"/>
    <w:rsid w:val="0A2763E4"/>
    <w:rsid w:val="0B666BE4"/>
    <w:rsid w:val="0B9730BE"/>
    <w:rsid w:val="0C7043B9"/>
    <w:rsid w:val="0C9C56AE"/>
    <w:rsid w:val="0CAC2A93"/>
    <w:rsid w:val="0E2F51B6"/>
    <w:rsid w:val="193321FA"/>
    <w:rsid w:val="1A7A0749"/>
    <w:rsid w:val="1C8B6CF2"/>
    <w:rsid w:val="1CE73720"/>
    <w:rsid w:val="1FB41ACF"/>
    <w:rsid w:val="239E5804"/>
    <w:rsid w:val="25496473"/>
    <w:rsid w:val="25AD1ED1"/>
    <w:rsid w:val="25BF129D"/>
    <w:rsid w:val="25DB4156"/>
    <w:rsid w:val="26872AE9"/>
    <w:rsid w:val="26D22DA5"/>
    <w:rsid w:val="27FE00C6"/>
    <w:rsid w:val="29926CD9"/>
    <w:rsid w:val="2BAE4744"/>
    <w:rsid w:val="2C024397"/>
    <w:rsid w:val="2CD54EEF"/>
    <w:rsid w:val="32383C7D"/>
    <w:rsid w:val="324D3ED8"/>
    <w:rsid w:val="33282174"/>
    <w:rsid w:val="371C3F72"/>
    <w:rsid w:val="3B33582F"/>
    <w:rsid w:val="40630DD7"/>
    <w:rsid w:val="40C02329"/>
    <w:rsid w:val="427B20EB"/>
    <w:rsid w:val="427E478A"/>
    <w:rsid w:val="42FB5055"/>
    <w:rsid w:val="442E7912"/>
    <w:rsid w:val="445F47E0"/>
    <w:rsid w:val="45471AB5"/>
    <w:rsid w:val="469D5E88"/>
    <w:rsid w:val="470601EB"/>
    <w:rsid w:val="47814E1C"/>
    <w:rsid w:val="491D214E"/>
    <w:rsid w:val="4BC012FC"/>
    <w:rsid w:val="4CBA03DF"/>
    <w:rsid w:val="50D46F52"/>
    <w:rsid w:val="50DA13BD"/>
    <w:rsid w:val="51920149"/>
    <w:rsid w:val="51B966EE"/>
    <w:rsid w:val="52B74201"/>
    <w:rsid w:val="53435D5A"/>
    <w:rsid w:val="546C586F"/>
    <w:rsid w:val="56611371"/>
    <w:rsid w:val="56E2065A"/>
    <w:rsid w:val="57461635"/>
    <w:rsid w:val="57BE53AF"/>
    <w:rsid w:val="5C2061CB"/>
    <w:rsid w:val="5C52598D"/>
    <w:rsid w:val="5D4A0E11"/>
    <w:rsid w:val="5D793204"/>
    <w:rsid w:val="5DE55E37"/>
    <w:rsid w:val="5E943824"/>
    <w:rsid w:val="5F553140"/>
    <w:rsid w:val="60B76F39"/>
    <w:rsid w:val="60C029A9"/>
    <w:rsid w:val="633C4909"/>
    <w:rsid w:val="63F732CA"/>
    <w:rsid w:val="644A511E"/>
    <w:rsid w:val="64A96160"/>
    <w:rsid w:val="65044697"/>
    <w:rsid w:val="653368B4"/>
    <w:rsid w:val="66DA1159"/>
    <w:rsid w:val="671E1CA4"/>
    <w:rsid w:val="67E023D7"/>
    <w:rsid w:val="67E16738"/>
    <w:rsid w:val="685A20E5"/>
    <w:rsid w:val="68A94F1B"/>
    <w:rsid w:val="6973347C"/>
    <w:rsid w:val="6AC87942"/>
    <w:rsid w:val="6D4A0A51"/>
    <w:rsid w:val="6DDE40A5"/>
    <w:rsid w:val="6EFD0669"/>
    <w:rsid w:val="700E61C9"/>
    <w:rsid w:val="753E40E2"/>
    <w:rsid w:val="765C7615"/>
    <w:rsid w:val="78E42E27"/>
    <w:rsid w:val="7A00729D"/>
    <w:rsid w:val="7A353A37"/>
    <w:rsid w:val="7C077CBF"/>
    <w:rsid w:val="7EFA2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43"/>
    <w:qFormat/>
    <w:uiPriority w:val="0"/>
    <w:pPr>
      <w:keepNext/>
      <w:keepLines/>
      <w:spacing w:before="340" w:after="330" w:line="578" w:lineRule="auto"/>
      <w:outlineLvl w:val="0"/>
    </w:pPr>
    <w:rPr>
      <w:b/>
      <w:bCs/>
      <w:kern w:val="44"/>
      <w:sz w:val="44"/>
      <w:szCs w:val="44"/>
    </w:rPr>
  </w:style>
  <w:style w:type="paragraph" w:styleId="3">
    <w:name w:val="heading 3"/>
    <w:basedOn w:val="1"/>
    <w:next w:val="1"/>
    <w:link w:val="19"/>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20"/>
    <w:unhideWhenUsed/>
    <w:qFormat/>
    <w:uiPriority w:val="9"/>
    <w:pPr>
      <w:keepNext/>
      <w:keepLines/>
      <w:spacing w:before="280" w:after="290" w:line="376" w:lineRule="auto"/>
      <w:outlineLvl w:val="3"/>
    </w:pPr>
    <w:rPr>
      <w:rFonts w:ascii="等线 Light" w:hAnsi="等线 Light" w:eastAsia="等线 Light"/>
      <w:b/>
      <w:bCs/>
      <w:sz w:val="28"/>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Number"/>
    <w:basedOn w:val="1"/>
    <w:link w:val="33"/>
    <w:qFormat/>
    <w:uiPriority w:val="0"/>
    <w:pPr>
      <w:numPr>
        <w:ilvl w:val="0"/>
        <w:numId w:val="1"/>
      </w:numPr>
      <w:contextualSpacing/>
    </w:p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Body Text"/>
    <w:basedOn w:val="1"/>
    <w:link w:val="21"/>
    <w:qFormat/>
    <w:uiPriority w:val="0"/>
    <w:pPr>
      <w:spacing w:after="120"/>
    </w:pPr>
    <w:rPr>
      <w:rFonts w:ascii="等线" w:hAnsi="等线"/>
      <w:sz w:val="24"/>
    </w:rPr>
  </w:style>
  <w:style w:type="paragraph" w:styleId="8">
    <w:name w:val="Date"/>
    <w:basedOn w:val="1"/>
    <w:next w:val="1"/>
    <w:link w:val="22"/>
    <w:unhideWhenUsed/>
    <w:qFormat/>
    <w:uiPriority w:val="99"/>
    <w:pPr>
      <w:ind w:left="100" w:leftChars="2500"/>
    </w:pPr>
    <w:rPr>
      <w:rFonts w:ascii="等线" w:hAnsi="等线"/>
      <w:sz w:val="24"/>
      <w:szCs w:val="22"/>
    </w:rPr>
  </w:style>
  <w:style w:type="paragraph" w:styleId="9">
    <w:name w:val="Balloon Text"/>
    <w:basedOn w:val="1"/>
    <w:link w:val="25"/>
    <w:semiHidden/>
    <w:qFormat/>
    <w:uiPriority w:val="0"/>
    <w:rPr>
      <w:sz w:val="18"/>
      <w:szCs w:val="18"/>
    </w:rPr>
  </w:style>
  <w:style w:type="paragraph" w:styleId="10">
    <w:name w:val="footer"/>
    <w:basedOn w:val="1"/>
    <w:link w:val="24"/>
    <w:qFormat/>
    <w:uiPriority w:val="99"/>
    <w:pPr>
      <w:tabs>
        <w:tab w:val="center" w:pos="4153"/>
        <w:tab w:val="right" w:pos="8306"/>
      </w:tabs>
      <w:snapToGrid w:val="0"/>
      <w:jc w:val="left"/>
    </w:pPr>
    <w:rPr>
      <w:sz w:val="18"/>
      <w:szCs w:val="18"/>
    </w:rPr>
  </w:style>
  <w:style w:type="paragraph" w:styleId="11">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Emphasis"/>
    <w:basedOn w:val="15"/>
    <w:qFormat/>
    <w:uiPriority w:val="0"/>
    <w:rPr>
      <w:i/>
    </w:rPr>
  </w:style>
  <w:style w:type="character" w:styleId="18">
    <w:name w:val="Hyperlink"/>
    <w:unhideWhenUsed/>
    <w:qFormat/>
    <w:uiPriority w:val="99"/>
    <w:rPr>
      <w:color w:val="0563C1"/>
      <w:u w:val="single"/>
    </w:rPr>
  </w:style>
  <w:style w:type="character" w:customStyle="1" w:styleId="19">
    <w:name w:val="标题 3 字符"/>
    <w:basedOn w:val="15"/>
    <w:link w:val="3"/>
    <w:qFormat/>
    <w:uiPriority w:val="9"/>
    <w:rPr>
      <w:b/>
      <w:bCs/>
      <w:kern w:val="2"/>
      <w:sz w:val="32"/>
      <w:szCs w:val="32"/>
    </w:rPr>
  </w:style>
  <w:style w:type="character" w:customStyle="1" w:styleId="20">
    <w:name w:val="标题 4 字符"/>
    <w:basedOn w:val="15"/>
    <w:link w:val="4"/>
    <w:qFormat/>
    <w:uiPriority w:val="9"/>
    <w:rPr>
      <w:rFonts w:ascii="等线 Light" w:hAnsi="等线 Light" w:eastAsia="等线 Light"/>
      <w:b/>
      <w:bCs/>
      <w:kern w:val="2"/>
      <w:sz w:val="28"/>
      <w:szCs w:val="28"/>
    </w:rPr>
  </w:style>
  <w:style w:type="character" w:customStyle="1" w:styleId="21">
    <w:name w:val="正文文本 字符"/>
    <w:basedOn w:val="15"/>
    <w:link w:val="7"/>
    <w:qFormat/>
    <w:uiPriority w:val="0"/>
    <w:rPr>
      <w:rFonts w:ascii="等线" w:hAnsi="等线"/>
      <w:kern w:val="2"/>
      <w:sz w:val="24"/>
      <w:szCs w:val="24"/>
    </w:rPr>
  </w:style>
  <w:style w:type="character" w:customStyle="1" w:styleId="22">
    <w:name w:val="日期 字符"/>
    <w:basedOn w:val="15"/>
    <w:link w:val="8"/>
    <w:qFormat/>
    <w:uiPriority w:val="99"/>
    <w:rPr>
      <w:rFonts w:ascii="等线" w:hAnsi="等线"/>
      <w:kern w:val="2"/>
      <w:sz w:val="24"/>
      <w:szCs w:val="22"/>
    </w:rPr>
  </w:style>
  <w:style w:type="character" w:customStyle="1" w:styleId="23">
    <w:name w:val="页眉 字符"/>
    <w:link w:val="11"/>
    <w:qFormat/>
    <w:uiPriority w:val="0"/>
    <w:rPr>
      <w:kern w:val="2"/>
      <w:sz w:val="18"/>
      <w:szCs w:val="18"/>
    </w:rPr>
  </w:style>
  <w:style w:type="character" w:customStyle="1" w:styleId="24">
    <w:name w:val="页脚 字符"/>
    <w:link w:val="10"/>
    <w:qFormat/>
    <w:uiPriority w:val="99"/>
    <w:rPr>
      <w:kern w:val="2"/>
      <w:sz w:val="18"/>
      <w:szCs w:val="18"/>
    </w:rPr>
  </w:style>
  <w:style w:type="character" w:customStyle="1" w:styleId="25">
    <w:name w:val="批注框文本 字符"/>
    <w:link w:val="9"/>
    <w:semiHidden/>
    <w:qFormat/>
    <w:uiPriority w:val="0"/>
    <w:rPr>
      <w:kern w:val="2"/>
      <w:sz w:val="18"/>
      <w:szCs w:val="18"/>
    </w:rPr>
  </w:style>
  <w:style w:type="paragraph" w:customStyle="1" w:styleId="26">
    <w:name w:val="EndNote Bibliography"/>
    <w:basedOn w:val="1"/>
    <w:link w:val="27"/>
    <w:qFormat/>
    <w:uiPriority w:val="0"/>
    <w:rPr>
      <w:rFonts w:cs="Calibri"/>
      <w:sz w:val="20"/>
    </w:rPr>
  </w:style>
  <w:style w:type="character" w:customStyle="1" w:styleId="27">
    <w:name w:val="EndNote Bibliography 字符"/>
    <w:link w:val="26"/>
    <w:qFormat/>
    <w:uiPriority w:val="0"/>
    <w:rPr>
      <w:rFonts w:cs="Calibri"/>
      <w:kern w:val="2"/>
      <w:szCs w:val="24"/>
    </w:rPr>
  </w:style>
  <w:style w:type="character" w:styleId="28">
    <w:name w:val="Placeholder Text"/>
    <w:unhideWhenUsed/>
    <w:qFormat/>
    <w:uiPriority w:val="99"/>
    <w:rPr>
      <w:color w:val="808080"/>
    </w:rPr>
  </w:style>
  <w:style w:type="character" w:customStyle="1" w:styleId="29">
    <w:name w:val="正文文本 字符1"/>
    <w:basedOn w:val="15"/>
    <w:qFormat/>
    <w:uiPriority w:val="0"/>
  </w:style>
  <w:style w:type="paragraph" w:customStyle="1" w:styleId="30">
    <w:name w:val="paragraph"/>
    <w:basedOn w:val="1"/>
    <w:semiHidden/>
    <w:qFormat/>
    <w:uiPriority w:val="0"/>
    <w:pPr>
      <w:widowControl/>
      <w:spacing w:before="100" w:beforeAutospacing="1" w:after="100" w:afterAutospacing="1" w:line="360" w:lineRule="auto"/>
      <w:jc w:val="left"/>
    </w:pPr>
    <w:rPr>
      <w:rFonts w:ascii="等线" w:hAnsi="等线" w:eastAsia="等线"/>
      <w:kern w:val="0"/>
      <w:sz w:val="24"/>
    </w:rPr>
  </w:style>
  <w:style w:type="paragraph" w:styleId="31">
    <w:name w:val="List Paragraph"/>
    <w:basedOn w:val="1"/>
    <w:qFormat/>
    <w:uiPriority w:val="99"/>
    <w:pPr>
      <w:ind w:firstLine="420" w:firstLineChars="200"/>
    </w:pPr>
    <w:rPr>
      <w:rFonts w:ascii="等线" w:hAnsi="等线"/>
      <w:sz w:val="24"/>
      <w:szCs w:val="22"/>
    </w:rPr>
  </w:style>
  <w:style w:type="paragraph" w:customStyle="1" w:styleId="32">
    <w:name w:val="公式编号"/>
    <w:basedOn w:val="5"/>
    <w:link w:val="34"/>
    <w:qFormat/>
    <w:uiPriority w:val="0"/>
    <w:pPr>
      <w:spacing w:line="360" w:lineRule="auto"/>
    </w:pPr>
  </w:style>
  <w:style w:type="character" w:customStyle="1" w:styleId="33">
    <w:name w:val="列表编号 字符"/>
    <w:basedOn w:val="15"/>
    <w:link w:val="5"/>
    <w:qFormat/>
    <w:uiPriority w:val="0"/>
    <w:rPr>
      <w:kern w:val="2"/>
      <w:sz w:val="21"/>
      <w:szCs w:val="24"/>
    </w:rPr>
  </w:style>
  <w:style w:type="character" w:customStyle="1" w:styleId="34">
    <w:name w:val="公式编号 字符"/>
    <w:basedOn w:val="33"/>
    <w:link w:val="32"/>
    <w:qFormat/>
    <w:uiPriority w:val="0"/>
    <w:rPr>
      <w:kern w:val="2"/>
      <w:sz w:val="21"/>
      <w:szCs w:val="24"/>
    </w:rPr>
  </w:style>
  <w:style w:type="character" w:customStyle="1" w:styleId="35">
    <w:name w:val="katex-mathml"/>
    <w:basedOn w:val="15"/>
    <w:qFormat/>
    <w:uiPriority w:val="0"/>
  </w:style>
  <w:style w:type="character" w:customStyle="1" w:styleId="36">
    <w:name w:val="mord"/>
    <w:basedOn w:val="15"/>
    <w:qFormat/>
    <w:uiPriority w:val="0"/>
  </w:style>
  <w:style w:type="character" w:customStyle="1" w:styleId="37">
    <w:name w:val="vlist-s"/>
    <w:basedOn w:val="15"/>
    <w:qFormat/>
    <w:uiPriority w:val="0"/>
  </w:style>
  <w:style w:type="character" w:customStyle="1" w:styleId="38">
    <w:name w:val="mopen"/>
    <w:basedOn w:val="15"/>
    <w:qFormat/>
    <w:uiPriority w:val="0"/>
  </w:style>
  <w:style w:type="character" w:customStyle="1" w:styleId="39">
    <w:name w:val="mclose"/>
    <w:basedOn w:val="15"/>
    <w:qFormat/>
    <w:uiPriority w:val="0"/>
  </w:style>
  <w:style w:type="character" w:customStyle="1" w:styleId="40">
    <w:name w:val="mrel"/>
    <w:basedOn w:val="15"/>
    <w:qFormat/>
    <w:uiPriority w:val="0"/>
  </w:style>
  <w:style w:type="character" w:customStyle="1" w:styleId="41">
    <w:name w:val="mbin"/>
    <w:basedOn w:val="15"/>
    <w:qFormat/>
    <w:uiPriority w:val="0"/>
  </w:style>
  <w:style w:type="character" w:customStyle="1" w:styleId="42">
    <w:name w:val="mpunct"/>
    <w:basedOn w:val="15"/>
    <w:qFormat/>
    <w:uiPriority w:val="0"/>
  </w:style>
  <w:style w:type="character" w:customStyle="1" w:styleId="43">
    <w:name w:val="标题 1 字符"/>
    <w:basedOn w:val="15"/>
    <w:link w:val="2"/>
    <w:qFormat/>
    <w:uiPriority w:val="0"/>
    <w:rPr>
      <w:b/>
      <w:bCs/>
      <w:kern w:val="44"/>
      <w:sz w:val="44"/>
      <w:szCs w:val="44"/>
    </w:rPr>
  </w:style>
  <w:style w:type="character" w:customStyle="1" w:styleId="44">
    <w:name w:val="Unresolved Mention"/>
    <w:basedOn w:val="1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77DE1-1EDB-48F0-ADC6-4CD055FD77BB}">
  <ds:schemaRefs/>
</ds:datastoreItem>
</file>

<file path=docProps/app.xml><?xml version="1.0" encoding="utf-8"?>
<Properties xmlns="http://schemas.openxmlformats.org/officeDocument/2006/extended-properties" xmlns:vt="http://schemas.openxmlformats.org/officeDocument/2006/docPropsVTypes">
  <Template>Normal</Template>
  <Company>pyb</Company>
  <Pages>24</Pages>
  <Words>5428</Words>
  <Characters>5885</Characters>
  <Lines>189</Lines>
  <Paragraphs>53</Paragraphs>
  <TotalTime>0</TotalTime>
  <ScaleCrop>false</ScaleCrop>
  <LinksUpToDate>false</LinksUpToDate>
  <CharactersWithSpaces>6506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2025-07-08T14:26:00Z</dcterms:created>
  <dc:creator>llm</dc:creator>
  <cp:lastModifiedBy>晚风</cp:lastModifiedBy>
  <cp:lastPrinted>2025-07-17T11:29:00Z</cp:lastPrinted>
  <dcterms:modified xsi:type="dcterms:W3CDTF">2026-06-26T03:22:58Z</dcterms:modified>
  <dc:title>河北工业大学</dc:title>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eyJoZGlkIjoiYWE5NjVmYTg0NTkyNGU4YjEwMGEwMjFkNGZkNTQyYWIiLCJ1c2VySWQiOiI3NTYwODE3MDYifQ==</vt:lpwstr>
  </property>
  <property fmtid="{D5CDD505-2E9C-101B-9397-08002B2CF9AE}" pid="4" name="ICV">
    <vt:lpwstr>0FACDBFD4BBF417BB38E15759C6A4714_12</vt:lpwstr>
  </property>
</Properties>
</file>