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he-proposed-method"/>
    <w:p>
      <w:pPr>
        <w:pStyle w:val="3"/>
      </w:pPr>
      <w:r>
        <w:t xml:space="preserve">3. The Proposed Method</w:t>
      </w:r>
    </w:p>
    <w:p>
      <w:pPr>
        <w:pStyle w:val="FirstParagraph"/>
      </w:pPr>
      <w:r>
        <w:t xml:space="preserve">The TRIGEL framework addresses imbalanced multi-omics cancer subtype classification through three interconnected components: Tri-class Guided Stratification (TGS), Multi-dimensional Graph Enhancement (MGE), and Contrastive Fusion Classification (CFC). TGS constructs a patient graph with compact node features for each omics modality and assigns cancer subtypes to minority, intermediate, and majority groups according to their sample sizes. This stratification guides MGE in applying group-specific feature and topology enhancement to each omics graph. CFC then aligns the representations learned from the original and enhanced graph views through contrastive learning. A class-balanced classification loss reduces majority-class bias, while node-level self-attention dynamically integrates the modality-specific representations to predict the cancer subtype. The overall architecture of TRIGEL is illustrated in Fig. 2.</w:t>
      </w:r>
    </w:p>
    <w:p>
      <w:pPr>
        <w:pStyle w:val="19"/>
      </w:pPr>
      <w:r>
        <w:rPr>
          <w:bCs/>
          <w:b/>
        </w:rPr>
        <w:t xml:space="preserve">Fig. 2. Architecture of TRIGEL.</w:t>
      </w:r>
      <w:r>
        <w:t xml:space="preserve"> </w:t>
      </w:r>
      <w:r>
        <w:t xml:space="preserve">For each omics modality</w:t>
      </w:r>
      <w:r>
        <w:t xml:space="preserve"> </w:t>
      </w:r>
      <m:oMath>
        <m:r>
          <m:t>v</m:t>
        </m:r>
      </m:oMath>
      <w:r>
        <w:t xml:space="preserve">, TRIGEL constructs an original patient graph</w:t>
      </w:r>
      <w:r>
        <w:t xml:space="preserve"> </w:t>
      </w:r>
      <m:oMath>
        <m:sSub>
          <m:e>
            <m:r>
              <m:t>G</m:t>
            </m:r>
          </m:e>
          <m:sub>
            <m:r>
              <m:t>v</m:t>
            </m:r>
          </m:sub>
        </m:sSub>
      </m:oMath>
      <w:r>
        <w:t xml:space="preserve"> </w:t>
      </w:r>
      <w:r>
        <w:t xml:space="preserve">using KNN and stratifies the cancer subtypes into minority, intermediate, and majority groups according to their sample sizes. Guided by this stratification, group-specific feature and topology enhancement generates an enhanced graph</w:t>
      </w:r>
      <w:r>
        <w:t xml:space="preserve"> </w:t>
      </w:r>
      <m:oMath>
        <m:sSub>
          <m:e>
            <m:acc>
              <m:accPr>
                <m:chr m:val="̂"/>
              </m:accPr>
              <m:e>
                <m:r>
                  <m:t>G</m:t>
                </m:r>
              </m:e>
            </m:acc>
          </m:e>
          <m:sub>
            <m:r>
              <m:t>v</m:t>
            </m:r>
          </m:sub>
        </m:sSub>
      </m:oMath>
      <w:r>
        <w:t xml:space="preserve">. The original and enhanced graph views are encoded and aligned through contrastive learning to obtain consistent patient representations. The modality-specific representations are subsequently weighted and integrated through node-level self-attention to produce the fused representation</w:t>
      </w:r>
      <w:r>
        <w:t xml:space="preserve"> </w:t>
      </w:r>
      <m:oMath>
        <m:sSub>
          <m:e>
            <m:r>
              <m:t>Z</m:t>
            </m:r>
          </m:e>
          <m:sub>
            <m:r>
              <m:t>f</m:t>
            </m:r>
          </m:sub>
        </m:sSub>
      </m:oMath>
      <w:r>
        <w:t xml:space="preserve"> </w:t>
      </w:r>
      <w:r>
        <w:t xml:space="preserve">for cancer subtype classification.</w:t>
      </w:r>
    </w:p>
    <w:bookmarkStart w:id="22" w:name="tri-class-guided-stratification"/>
    <w:p>
      <w:pPr>
        <w:pStyle w:val="4"/>
      </w:pPr>
      <w:r>
        <w:t xml:space="preserve">3.1 Tri-class Guided Stratification</w:t>
      </w:r>
    </w:p>
    <w:p>
      <w:pPr>
        <w:pStyle w:val="FirstParagraph"/>
      </w:pPr>
      <w:r>
        <w:t xml:space="preserve">TGS converts the data from each omics modality into a patient similarity graph and stratifies the cancer subtypes according to their sample sizes. The resulting group assignments provide the class-aware guidance used by MGE.</w:t>
      </w:r>
    </w:p>
    <w:bookmarkStart w:id="20" w:name="patient-similarity-graph-construction"/>
    <w:p>
      <w:pPr>
        <w:pStyle w:val="5"/>
      </w:pPr>
      <w:r>
        <w:t xml:space="preserve">3.1.1 Patient Similarity Graph Construction</w:t>
      </w:r>
    </w:p>
    <w:p>
      <w:pPr>
        <w:pStyle w:val="FirstParagraph"/>
      </w:pPr>
      <w:r>
        <w:t xml:space="preserve">For each of the</w:t>
      </w:r>
      <w:r>
        <w:t xml:space="preserve"> </w:t>
      </w:r>
      <m:oMath>
        <m:r>
          <m:t>V</m:t>
        </m:r>
      </m:oMath>
      <w:r>
        <w:t xml:space="preserve"> </w:t>
      </w:r>
      <w:r>
        <w:t xml:space="preserve">omics modalities, we construct a patient similarity graph using</w:t>
      </w:r>
      <w:r>
        <w:t xml:space="preserve"> </w:t>
      </w:r>
      <m:oMath>
        <m:r>
          <m:t>k</m:t>
        </m:r>
      </m:oMath>
      <w:r>
        <w:t xml:space="preserve">-nearest neighbors (KNN) [19]. Let</w:t>
      </w:r>
      <w:r>
        <w:t xml:space="preserve"> </w:t>
      </w:r>
      <m:oMath>
        <m:sSub>
          <m:e>
            <m:r>
              <m:t>X</m:t>
            </m:r>
          </m:e>
          <m:sub>
            <m:r>
              <m:t>v</m:t>
            </m:r>
          </m:sub>
        </m:sSub>
        <m:r>
          <m:rPr>
            <m:sty m:val="p"/>
          </m:rPr>
          <m:t>∈</m:t>
        </m:r>
        <m:sSup>
          <m:e>
            <m:r>
              <m:rPr>
                <m:sty m:val="p"/>
                <m:scr m:val="double-struck"/>
              </m:rPr>
              <m:t>R</m:t>
            </m:r>
          </m:e>
          <m:sup>
            <m:r>
              <m:t>N</m:t>
            </m:r>
            <m:r>
              <m:rPr>
                <m:sty m:val="p"/>
              </m:rPr>
              <m:t>×</m:t>
            </m:r>
            <m:sSub>
              <m:e>
                <m:r>
                  <m:t>D</m:t>
                </m:r>
              </m:e>
              <m:sub>
                <m:r>
                  <m:t>v</m:t>
                </m:r>
              </m:sub>
            </m:sSub>
          </m:sup>
        </m:sSup>
      </m:oMath>
      <w:r>
        <w:t xml:space="preserve"> </w:t>
      </w:r>
      <w:r>
        <w:t xml:space="preserve">denote the feature matrix of omics modality</w:t>
      </w:r>
      <w:r>
        <w:t xml:space="preserve"> </w:t>
      </w:r>
      <m:oMath>
        <m:r>
          <m:t>v</m:t>
        </m:r>
      </m:oMath>
      <w:r>
        <w:t xml:space="preserve">, where</w:t>
      </w:r>
      <w:r>
        <w:t xml:space="preserve"> </w:t>
      </w:r>
      <m:oMath>
        <m:r>
          <m:t>N</m:t>
        </m:r>
      </m:oMath>
      <w:r>
        <w:t xml:space="preserve"> </w:t>
      </w:r>
      <w:r>
        <w:t xml:space="preserve">is the number of patients and</w:t>
      </w:r>
      <w:r>
        <w:t xml:space="preserve"> </w:t>
      </w:r>
      <m:oMath>
        <m:sSub>
          <m:e>
            <m:r>
              <m:t>D</m:t>
            </m:r>
          </m:e>
          <m:sub>
            <m:r>
              <m:t>v</m:t>
            </m:r>
          </m:sub>
        </m:sSub>
      </m:oMath>
      <w:r>
        <w:t xml:space="preserve"> </w:t>
      </w:r>
      <w:r>
        <w:t xml:space="preserve">is the corresponding feature dimension. For patients</w:t>
      </w:r>
      <w:r>
        <w:t xml:space="preserve"> </w:t>
      </w:r>
      <m:oMath>
        <m:r>
          <m:t>p</m:t>
        </m:r>
      </m:oMath>
      <w:r>
        <w:t xml:space="preserve"> </w:t>
      </w:r>
      <w:r>
        <w:t xml:space="preserve">and</w:t>
      </w:r>
      <w:r>
        <w:t xml:space="preserve"> </w:t>
      </w:r>
      <m:oMath>
        <m:r>
          <m:t>q</m:t>
        </m:r>
      </m:oMath>
      <w:r>
        <w:t xml:space="preserve">, their cosine similarity in modality</w:t>
      </w:r>
      <w:r>
        <w:t xml:space="preserve"> </w:t>
      </w:r>
      <m:oMath>
        <m:r>
          <m:t>v</m:t>
        </m:r>
      </m:oMath>
      <w:r>
        <w:t xml:space="preserve"> </w:t>
      </w:r>
      <w:r>
        <w:t xml:space="preserve">is computed as</w:t>
      </w:r>
    </w:p>
    <w:p>
      <w:pPr>
        <w:pStyle w:val="19"/>
        <w:tabs>
          <w:tab w:val="right" w:pos="9360"/>
        </w:tabs>
      </w:pPr>
      <m:oMathPara>
        <m:oMathParaPr>
          <m:jc m:val="center"/>
        </m:oMathParaPr>
        <m:oMath>
          <m:r>
            <m:rPr>
              <m:sty m:val="p"/>
            </m:rPr>
            <m:t>sim</m:t>
          </m:r>
          <m:r>
            <m:t>​</m:t>
          </m:r>
          <m:d>
            <m:dPr>
              <m:begChr m:val="("/>
              <m:endChr m:val=")"/>
              <m:sepChr m:val=""/>
              <m:grow/>
            </m:dPr>
            <m:e>
              <m:sSubSup>
                <m:e>
                  <m:r>
                    <m:rPr>
                      <m:sty m:val="b"/>
                    </m:rPr>
                    <m:t>x</m:t>
                  </m:r>
                </m:e>
                <m:sub>
                  <m:r>
                    <m:t>p</m:t>
                  </m:r>
                </m:sub>
                <m:sup>
                  <m:d>
                    <m:dPr>
                      <m:begChr m:val="("/>
                      <m:endChr m:val=")"/>
                      <m:sepChr m:val=""/>
                      <m:grow/>
                    </m:dPr>
                    <m:e>
                      <m:r>
                        <m:t>v</m:t>
                      </m:r>
                    </m:e>
                  </m:d>
                </m:sup>
              </m:sSubSup>
              <m:r>
                <m:rPr>
                  <m:sty m:val="p"/>
                </m:rPr>
                <m:t>,</m:t>
              </m:r>
              <m:sSubSup>
                <m:e>
                  <m:r>
                    <m:rPr>
                      <m:sty m:val="b"/>
                    </m:rPr>
                    <m:t>x</m:t>
                  </m:r>
                </m:e>
                <m:sub>
                  <m:r>
                    <m:t>q</m:t>
                  </m:r>
                </m:sub>
                <m:sup>
                  <m:d>
                    <m:dPr>
                      <m:begChr m:val="("/>
                      <m:endChr m:val=")"/>
                      <m:sepChr m:val=""/>
                      <m:grow/>
                    </m:dPr>
                    <m:e>
                      <m:r>
                        <m:t>v</m:t>
                      </m:r>
                    </m:e>
                  </m:d>
                </m:sup>
              </m:sSubSup>
            </m:e>
          </m:d>
          <m:r>
            <m:rPr>
              <m:sty m:val="p"/>
            </m:rPr>
            <m:t>=</m:t>
          </m:r>
          <m:f>
            <m:fPr>
              <m:type m:val="bar"/>
            </m:fPr>
            <m:num>
              <m:sSup>
                <m:e>
                  <m:d>
                    <m:dPr>
                      <m:begChr m:val="("/>
                      <m:endChr m:val=")"/>
                      <m:sepChr m:val=""/>
                      <m:grow/>
                    </m:dPr>
                    <m:e>
                      <m:sSubSup>
                        <m:e>
                          <m:r>
                            <m:rPr>
                              <m:sty m:val="b"/>
                            </m:rPr>
                            <m:t>x</m:t>
                          </m:r>
                        </m:e>
                        <m:sub>
                          <m:r>
                            <m:t>p</m:t>
                          </m:r>
                        </m:sub>
                        <m:sup>
                          <m:d>
                            <m:dPr>
                              <m:begChr m:val="("/>
                              <m:endChr m:val=")"/>
                              <m:sepChr m:val=""/>
                              <m:grow/>
                            </m:dPr>
                            <m:e>
                              <m:r>
                                <m:t>v</m:t>
                              </m:r>
                            </m:e>
                          </m:d>
                        </m:sup>
                      </m:sSubSup>
                    </m:e>
                  </m:d>
                </m:e>
                <m:sup>
                  <m:r>
                    <m:rPr>
                      <m:sty m:val="p"/>
                    </m:rPr>
                    <m:t>⊤</m:t>
                  </m:r>
                </m:sup>
              </m:sSup>
              <m:sSubSup>
                <m:e>
                  <m:r>
                    <m:rPr>
                      <m:sty m:val="b"/>
                    </m:rPr>
                    <m:t>x</m:t>
                  </m:r>
                </m:e>
                <m:sub>
                  <m:r>
                    <m:t>q</m:t>
                  </m:r>
                </m:sub>
                <m:sup>
                  <m:d>
                    <m:dPr>
                      <m:begChr m:val="("/>
                      <m:endChr m:val=")"/>
                      <m:sepChr m:val=""/>
                      <m:grow/>
                    </m:dPr>
                    <m:e>
                      <m:r>
                        <m:t>v</m:t>
                      </m:r>
                    </m:e>
                  </m:d>
                </m:sup>
              </m:sSubSup>
            </m:num>
            <m:den>
              <m:sSub>
                <m:e>
                  <m:d>
                    <m:dPr>
                      <m:begChr m:val="∥"/>
                      <m:endChr m:val="∥"/>
                      <m:sepChr m:val=""/>
                      <m:grow/>
                    </m:dPr>
                    <m:e>
                      <m:sSubSup>
                        <m:e>
                          <m:r>
                            <m:rPr>
                              <m:sty m:val="b"/>
                            </m:rPr>
                            <m:t>x</m:t>
                          </m:r>
                        </m:e>
                        <m:sub>
                          <m:r>
                            <m:t>p</m:t>
                          </m:r>
                        </m:sub>
                        <m:sup>
                          <m:d>
                            <m:dPr>
                              <m:begChr m:val="("/>
                              <m:endChr m:val=")"/>
                              <m:sepChr m:val=""/>
                              <m:grow/>
                            </m:dPr>
                            <m:e>
                              <m:r>
                                <m:t>v</m:t>
                              </m:r>
                            </m:e>
                          </m:d>
                        </m:sup>
                      </m:sSubSup>
                    </m:e>
                  </m:d>
                </m:e>
                <m:sub>
                  <m:r>
                    <m:t>2</m:t>
                  </m:r>
                </m:sub>
              </m:sSub>
              <m:sSub>
                <m:e>
                  <m:d>
                    <m:dPr>
                      <m:begChr m:val="∥"/>
                      <m:endChr m:val="∥"/>
                      <m:sepChr m:val=""/>
                      <m:grow/>
                    </m:dPr>
                    <m:e>
                      <m:sSubSup>
                        <m:e>
                          <m:r>
                            <m:rPr>
                              <m:sty m:val="b"/>
                            </m:rPr>
                            <m:t>x</m:t>
                          </m:r>
                        </m:e>
                        <m:sub>
                          <m:r>
                            <m:t>q</m:t>
                          </m:r>
                        </m:sub>
                        <m:sup>
                          <m:d>
                            <m:dPr>
                              <m:begChr m:val="("/>
                              <m:endChr m:val=")"/>
                              <m:sepChr m:val=""/>
                              <m:grow/>
                            </m:dPr>
                            <m:e>
                              <m:r>
                                <m:t>v</m:t>
                              </m:r>
                            </m:e>
                          </m:d>
                        </m:sup>
                      </m:sSubSup>
                    </m:e>
                  </m:d>
                </m:e>
                <m:sub>
                  <m:r>
                    <m:t>2</m:t>
                  </m:r>
                </m:sub>
              </m:sSub>
            </m:den>
          </m:f>
          <m:r>
            <m:rPr>
              <m:sty m:val="p"/>
            </m:rPr>
            <m:t>.</m:t>
          </m:r>
        </m:oMath>
      </m:oMathPara>
      <w:r>
        <w:tab/>
      </w:r>
      <w:r>
        <w:t>(1)</w:t>
      </w:r>
    </w:p>
    <w:p>
      <w:pPr>
        <w:pStyle w:val="FirstParagraph"/>
      </w:pPr>
      <w:r>
        <w:t xml:space="preserve">Based on these similarities, each patient is connected to its</w:t>
      </w:r>
      <w:r>
        <w:t xml:space="preserve"> </w:t>
      </w:r>
      <m:oMath>
        <m:r>
          <m:t>k</m:t>
        </m:r>
      </m:oMath>
      <w:r>
        <w:t xml:space="preserve"> </w:t>
      </w:r>
      <w:r>
        <w:t xml:space="preserve">nearest neighbors, producing the adjacency matrix</w:t>
      </w:r>
      <w:r>
        <w:t xml:space="preserve"> </w:t>
      </w:r>
      <m:oMath>
        <m:sSub>
          <m:e>
            <m:r>
              <m:t>A</m:t>
            </m:r>
          </m:e>
          <m:sub>
            <m:r>
              <m:t>v</m:t>
            </m:r>
          </m:sub>
        </m:sSub>
        <m:r>
          <m:rPr>
            <m:sty m:val="p"/>
          </m:rPr>
          <m:t>∈</m:t>
        </m:r>
        <m:r>
          <m:rPr>
            <m:sty m:val="p"/>
          </m:rPr>
          <m:t>{</m:t>
        </m:r>
        <m:r>
          <m:t>0</m:t>
        </m:r>
        <m:r>
          <m:rPr>
            <m:sty m:val="p"/>
          </m:rPr>
          <m:t>,</m:t>
        </m:r>
        <m:r>
          <m:t>1</m:t>
        </m:r>
        <m:sSup>
          <m:e>
            <m:r>
              <m:rPr>
                <m:sty m:val="p"/>
              </m:rPr>
              <m:t>}</m:t>
            </m:r>
          </m:e>
          <m:sup>
            <m:r>
              <m:t>N</m:t>
            </m:r>
            <m:r>
              <m:rPr>
                <m:sty m:val="p"/>
              </m:rPr>
              <m:t>×</m:t>
            </m:r>
            <m:r>
              <m:t>N</m:t>
            </m:r>
          </m:sup>
        </m:sSup>
      </m:oMath>
      <w:r>
        <w:t xml:space="preserve">. Self-loops are added so that each node retains its own features during graph convolution. The resulting patient graph is denoted by</w:t>
      </w:r>
      <w:r>
        <w:t xml:space="preserve"> </w:t>
      </w:r>
      <m:oMath>
        <m:sSub>
          <m:e>
            <m:r>
              <m:t>G</m:t>
            </m:r>
          </m:e>
          <m:sub>
            <m:r>
              <m:t>v</m:t>
            </m:r>
          </m:sub>
        </m:sSub>
        <m:r>
          <m:rPr>
            <m:sty m:val="p"/>
          </m:rPr>
          <m:t>=</m:t>
        </m:r>
        <m:d>
          <m:dPr>
            <m:begChr m:val="("/>
            <m:endChr m:val=")"/>
            <m:sepChr m:val=""/>
            <m:grow/>
          </m:dPr>
          <m:e>
            <m:sSub>
              <m:e>
                <m:r>
                  <m:t>X</m:t>
                </m:r>
              </m:e>
              <m:sub>
                <m:r>
                  <m:t>v</m:t>
                </m:r>
              </m:sub>
            </m:sSub>
            <m:r>
              <m:rPr>
                <m:sty m:val="p"/>
              </m:rPr>
              <m:t>,</m:t>
            </m:r>
            <m:sSub>
              <m:e>
                <m:r>
                  <m:t>A</m:t>
                </m:r>
              </m:e>
              <m:sub>
                <m:r>
                  <m:t>v</m:t>
                </m:r>
              </m:sub>
            </m:sSub>
          </m:e>
        </m:d>
      </m:oMath>
      <w:r>
        <w:t xml:space="preserve">.</w:t>
      </w:r>
    </w:p>
    <w:bookmarkEnd w:id="20"/>
    <w:bookmarkStart w:id="21" w:name="tri-class-guided-stratification-1"/>
    <w:p>
      <w:pPr>
        <w:pStyle w:val="5"/>
      </w:pPr>
      <w:r>
        <w:t xml:space="preserve">3.1.2 Tri-class Guided Stratification</w:t>
      </w:r>
    </w:p>
    <w:p>
      <w:pPr>
        <w:pStyle w:val="FirstParagraph"/>
      </w:pPr>
      <w:r>
        <w:t xml:space="preserve">To enable differentiated treatment of cancer subtypes with varying sample sizes, TGS assigns each subtype to one of three groups. For a task with</w:t>
      </w:r>
      <w:r>
        <w:t xml:space="preserve"> </w:t>
      </w:r>
      <m:oMath>
        <m:r>
          <m:t>C</m:t>
        </m:r>
      </m:oMath>
      <w:r>
        <w:t xml:space="preserve"> </w:t>
      </w:r>
      <w:r>
        <w:t xml:space="preserve">cancer subtypes, let</w:t>
      </w:r>
      <w:r>
        <w:t xml:space="preserve"> </w:t>
      </w:r>
      <m:oMath>
        <m:sSub>
          <m:e>
            <m:r>
              <m:t>n</m:t>
            </m:r>
          </m:e>
          <m:sub>
            <m:r>
              <m:t>c</m:t>
            </m:r>
          </m:sub>
        </m:sSub>
      </m:oMath>
      <w:r>
        <w:t xml:space="preserve"> </w:t>
      </w:r>
      <w:r>
        <w:t xml:space="preserve">denote the number of training samples belonging to subtype</w:t>
      </w:r>
      <w:r>
        <w:t xml:space="preserve"> </w:t>
      </w:r>
      <m:oMath>
        <m:r>
          <m:t>c</m:t>
        </m:r>
      </m:oMath>
      <w:r>
        <w:t xml:space="preserve">, and let</w:t>
      </w:r>
      <w:r>
        <w:t xml:space="preserve"> </w:t>
      </w:r>
      <m:oMath>
        <m:sSub>
          <m:e>
            <m:r>
              <m:t>N</m:t>
            </m:r>
          </m:e>
          <m:sub>
            <m:r>
              <m:rPr>
                <m:sty m:val="p"/>
              </m:rPr>
              <m:t>t</m:t>
            </m:r>
            <m:r>
              <m:rPr>
                <m:sty m:val="p"/>
              </m:rPr>
              <m:t>r</m:t>
            </m:r>
            <m:r>
              <m:rPr>
                <m:sty m:val="p"/>
              </m:rPr>
              <m:t>a</m:t>
            </m:r>
            <m:r>
              <m:rPr>
                <m:sty m:val="p"/>
              </m:rPr>
              <m:t>i</m:t>
            </m:r>
            <m:r>
              <m:rPr>
                <m:sty m:val="p"/>
              </m:rPr>
              <m:t>n</m:t>
            </m:r>
          </m:sub>
        </m:sSub>
      </m:oMath>
      <w:r>
        <w:t xml:space="preserve"> </w:t>
      </w:r>
      <w:r>
        <w:t xml:space="preserve">denote the total number of training samples. The sample proportion of subtype</w:t>
      </w:r>
      <w:r>
        <w:t xml:space="preserve"> </w:t>
      </w:r>
      <m:oMath>
        <m:r>
          <m:t>c</m:t>
        </m:r>
      </m:oMath>
      <w:r>
        <w:t xml:space="preserve"> </w:t>
      </w:r>
      <w:r>
        <w:t xml:space="preserve">is defined as</w:t>
      </w:r>
    </w:p>
    <w:p>
      <w:pPr>
        <w:pStyle w:val="19"/>
        <w:tabs>
          <w:tab w:val="right" w:pos="9360"/>
        </w:tabs>
      </w:pPr>
      <m:oMathPara>
        <m:oMathParaPr>
          <m:jc m:val="center"/>
        </m:oMathParaPr>
        <m:oMath>
          <m:sSub>
            <m:e>
              <m:r>
                <m:t>p</m:t>
              </m:r>
            </m:e>
            <m:sub>
              <m:r>
                <m:t>c</m:t>
              </m:r>
            </m:sub>
          </m:sSub>
          <m:r>
            <m:rPr>
              <m:sty m:val="p"/>
            </m:rPr>
            <m:t>=</m:t>
          </m:r>
          <m:f>
            <m:fPr>
              <m:type m:val="bar"/>
            </m:fPr>
            <m:num>
              <m:sSub>
                <m:e>
                  <m:r>
                    <m:t>n</m:t>
                  </m:r>
                </m:e>
                <m:sub>
                  <m:r>
                    <m:t>c</m:t>
                  </m:r>
                </m:sub>
              </m:sSub>
            </m:num>
            <m:den>
              <m:sSub>
                <m:e>
                  <m:r>
                    <m:t>N</m:t>
                  </m:r>
                </m:e>
                <m:sub>
                  <m:r>
                    <m:rPr>
                      <m:sty m:val="p"/>
                    </m:rPr>
                    <m:t>t</m:t>
                  </m:r>
                  <m:r>
                    <m:rPr>
                      <m:sty m:val="p"/>
                    </m:rPr>
                    <m:t>r</m:t>
                  </m:r>
                  <m:r>
                    <m:rPr>
                      <m:sty m:val="p"/>
                    </m:rPr>
                    <m:t>a</m:t>
                  </m:r>
                  <m:r>
                    <m:rPr>
                      <m:sty m:val="p"/>
                    </m:rPr>
                    <m:t>i</m:t>
                  </m:r>
                  <m:r>
                    <m:rPr>
                      <m:sty m:val="p"/>
                    </m:rPr>
                    <m:t>n</m:t>
                  </m:r>
                </m:sub>
              </m:sSub>
            </m:den>
          </m:f>
          <m:r>
            <m:rPr>
              <m:sty m:val="p"/>
            </m:rPr>
            <m:t>.</m:t>
          </m:r>
        </m:oMath>
      </m:oMathPara>
      <w:r>
        <w:tab/>
      </w:r>
      <w:r>
        <w:t>(2)</w:t>
      </w:r>
    </w:p>
    <w:p>
      <w:pPr>
        <w:pStyle w:val="FirstParagraph"/>
      </w:pPr>
      <w:r>
        <w:t xml:space="preserve">Based on</w:t>
      </w:r>
      <w:r>
        <w:t xml:space="preserve"> </w:t>
      </w:r>
      <m:oMath>
        <m:sSub>
          <m:e>
            <m:r>
              <m:t>p</m:t>
            </m:r>
          </m:e>
          <m:sub>
            <m:r>
              <m:t>c</m:t>
            </m:r>
          </m:sub>
        </m:sSub>
      </m:oMath>
      <w:r>
        <w:t xml:space="preserve">, subtype</w:t>
      </w:r>
      <w:r>
        <w:t xml:space="preserve"> </w:t>
      </w:r>
      <m:oMath>
        <m:r>
          <m:t>c</m:t>
        </m:r>
      </m:oMath>
      <w:r>
        <w:t xml:space="preserve"> </w:t>
      </w:r>
      <w:r>
        <w:t xml:space="preserve">is assigned to the minority group if</w:t>
      </w:r>
      <w:r>
        <w:t xml:space="preserve"> </w:t>
      </w:r>
      <m:oMath>
        <m:sSub>
          <m:e>
            <m:r>
              <m:t>p</m:t>
            </m:r>
          </m:e>
          <m:sub>
            <m:r>
              <m:t>c</m:t>
            </m:r>
          </m:sub>
        </m:sSub>
        <m:r>
          <m:rPr>
            <m:sty m:val="p"/>
          </m:rPr>
          <m:t>≤</m:t>
        </m:r>
        <m:sSub>
          <m:e>
            <m:r>
              <m:t>η</m:t>
            </m:r>
          </m:e>
          <m:sub>
            <m:r>
              <m:t>1</m:t>
            </m:r>
          </m:sub>
        </m:sSub>
      </m:oMath>
      <w:r>
        <w:t xml:space="preserve">, the intermediate group if</w:t>
      </w:r>
      <w:r>
        <w:t xml:space="preserve"> </w:t>
      </w:r>
      <m:oMath>
        <m:sSub>
          <m:e>
            <m:r>
              <m:t>η</m:t>
            </m:r>
          </m:e>
          <m:sub>
            <m:r>
              <m:t>1</m:t>
            </m:r>
          </m:sub>
        </m:sSub>
        <m:r>
          <m:rPr>
            <m:sty m:val="p"/>
          </m:rPr>
          <m:t>&lt;</m:t>
        </m:r>
        <m:sSub>
          <m:e>
            <m:r>
              <m:t>p</m:t>
            </m:r>
          </m:e>
          <m:sub>
            <m:r>
              <m:t>c</m:t>
            </m:r>
          </m:sub>
        </m:sSub>
        <m:r>
          <m:rPr>
            <m:sty m:val="p"/>
          </m:rPr>
          <m:t>&lt;</m:t>
        </m:r>
        <m:sSub>
          <m:e>
            <m:r>
              <m:t>η</m:t>
            </m:r>
          </m:e>
          <m:sub>
            <m:r>
              <m:t>2</m:t>
            </m:r>
          </m:sub>
        </m:sSub>
      </m:oMath>
      <w:r>
        <w:t xml:space="preserve">, and the majority group if</w:t>
      </w:r>
      <w:r>
        <w:t xml:space="preserve"> </w:t>
      </w:r>
      <m:oMath>
        <m:sSub>
          <m:e>
            <m:r>
              <m:t>p</m:t>
            </m:r>
          </m:e>
          <m:sub>
            <m:r>
              <m:t>c</m:t>
            </m:r>
          </m:sub>
        </m:sSub>
        <m:r>
          <m:rPr>
            <m:sty m:val="p"/>
          </m:rPr>
          <m:t>≥</m:t>
        </m:r>
        <m:sSub>
          <m:e>
            <m:r>
              <m:t>η</m:t>
            </m:r>
          </m:e>
          <m:sub>
            <m:r>
              <m:t>2</m:t>
            </m:r>
          </m:sub>
        </m:sSub>
      </m:oMath>
      <w:r>
        <w:t xml:space="preserve">, where</w:t>
      </w:r>
      <w:r>
        <w:t xml:space="preserve"> </w:t>
      </w:r>
      <m:oMath>
        <m:r>
          <m:t>0</m:t>
        </m:r>
        <m:r>
          <m:rPr>
            <m:sty m:val="p"/>
          </m:rPr>
          <m:t>&lt;</m:t>
        </m:r>
        <m:sSub>
          <m:e>
            <m:r>
              <m:t>η</m:t>
            </m:r>
          </m:e>
          <m:sub>
            <m:r>
              <m:t>1</m:t>
            </m:r>
          </m:sub>
        </m:sSub>
        <m:r>
          <m:rPr>
            <m:sty m:val="p"/>
          </m:rPr>
          <m:t>&lt;</m:t>
        </m:r>
        <m:sSub>
          <m:e>
            <m:r>
              <m:t>η</m:t>
            </m:r>
          </m:e>
          <m:sub>
            <m:r>
              <m:t>2</m:t>
            </m:r>
          </m:sub>
        </m:sSub>
        <m:r>
          <m:rPr>
            <m:sty m:val="p"/>
          </m:rPr>
          <m:t>&lt;</m:t>
        </m:r>
        <m:r>
          <m:t>1</m:t>
        </m:r>
      </m:oMath>
      <w:r>
        <w:t xml:space="preserve"> </w:t>
      </w:r>
      <w:r>
        <w:t xml:space="preserve">are predefined thresholds. Compared with a conventional binary division, this stratification explicitly represents subtypes with moderate sample sizes and provides finer-grained guidance for subsequent graph enhancement.</w:t>
      </w:r>
    </w:p>
    <w:p>
      <w:pPr>
        <w:pStyle w:val="19"/>
      </w:pPr>
      <w:r>
        <w:t xml:space="preserve">Following Cui et al. [22], we use the effective number of samples to account for the diminishing marginal benefit of additional samples within each subtype:</w:t>
      </w:r>
    </w:p>
    <w:p>
      <w:pPr>
        <w:pStyle w:val="19"/>
        <w:tabs>
          <w:tab w:val="right" w:pos="9360"/>
        </w:tabs>
      </w:pPr>
      <m:oMathPara>
        <m:oMathParaPr>
          <m:jc m:val="center"/>
        </m:oMathParaPr>
        <m:oMath>
          <m:sSub>
            <m:e>
              <m:r>
                <m:t>E</m:t>
              </m:r>
            </m:e>
            <m:sub>
              <m:r>
                <m:t>c</m:t>
              </m:r>
            </m:sub>
          </m:sSub>
          <m:r>
            <m:rPr>
              <m:sty m:val="p"/>
            </m:rPr>
            <m:t>=</m:t>
          </m:r>
          <m:f>
            <m:fPr>
              <m:type m:val="bar"/>
            </m:fPr>
            <m:num>
              <m:r>
                <m:t>1</m:t>
              </m:r>
              <m:r>
                <m:rPr>
                  <m:sty m:val="p"/>
                </m:rPr>
                <m:t>−</m:t>
              </m:r>
              <m:sSup>
                <m:e>
                  <m:r>
                    <m:t>β</m:t>
                  </m:r>
                </m:e>
                <m:sup>
                  <m:sSub>
                    <m:e>
                      <m:r>
                        <m:t>n</m:t>
                      </m:r>
                    </m:e>
                    <m:sub>
                      <m:r>
                        <m:t>c</m:t>
                      </m:r>
                    </m:sub>
                  </m:sSub>
                </m:sup>
              </m:sSup>
            </m:num>
            <m:den>
              <m:r>
                <m:t>1</m:t>
              </m:r>
              <m:r>
                <m:rPr>
                  <m:sty m:val="p"/>
                </m:rPr>
                <m:t>−</m:t>
              </m:r>
              <m:r>
                <m:t>β</m:t>
              </m:r>
            </m:den>
          </m:f>
          <m:r>
            <m:rPr>
              <m:sty m:val="p"/>
            </m:rPr>
            <m:t>,</m:t>
          </m:r>
        </m:oMath>
      </m:oMathPara>
      <w:r>
        <w:tab/>
      </w:r>
      <w:r>
        <w:t>(3)</w:t>
      </w:r>
    </w:p>
    <w:p>
      <w:pPr>
        <w:pStyle w:val="FirstParagraph"/>
      </w:pPr>
      <w:r>
        <w:t xml:space="preserve">where</w:t>
      </w:r>
      <w:r>
        <w:t xml:space="preserve"> </w:t>
      </w:r>
      <m:oMath>
        <m:r>
          <m:t>β</m:t>
        </m:r>
        <m:r>
          <m:rPr>
            <m:sty m:val="p"/>
          </m:rPr>
          <m:t>∈</m:t>
        </m:r>
        <m:r>
          <m:rPr>
            <m:sty m:val="p"/>
          </m:rPr>
          <m:t>[</m:t>
        </m:r>
        <m:r>
          <m:t>0</m:t>
        </m:r>
        <m:r>
          <m:rPr>
            <m:sty m:val="p"/>
          </m:rPr>
          <m:t>,</m:t>
        </m:r>
        <m:r>
          <m:t>1</m:t>
        </m:r>
        <m:r>
          <m:rPr>
            <m:sty m:val="p"/>
          </m:rPr>
          <m:t>)</m:t>
        </m:r>
      </m:oMath>
      <w:r>
        <w:t xml:space="preserve"> </w:t>
      </w:r>
      <w:r>
        <w:t xml:space="preserve">controls the degree of diminishing marginal benefit. When</w:t>
      </w:r>
      <w:r>
        <w:t xml:space="preserve"> </w:t>
      </w:r>
      <m:oMath>
        <m:r>
          <m:t>β</m:t>
        </m:r>
        <m:r>
          <m:rPr>
            <m:sty m:val="p"/>
          </m:rPr>
          <m:t>=</m:t>
        </m:r>
        <m:r>
          <m:t>0</m:t>
        </m:r>
      </m:oMath>
      <w:r>
        <w:t xml:space="preserve">,</w:t>
      </w:r>
      <w:r>
        <w:t xml:space="preserve"> </w:t>
      </w:r>
      <m:oMath>
        <m:sSub>
          <m:e>
            <m:r>
              <m:t>E</m:t>
            </m:r>
          </m:e>
          <m:sub>
            <m:r>
              <m:t>c</m:t>
            </m:r>
          </m:sub>
        </m:sSub>
        <m:r>
          <m:rPr>
            <m:sty m:val="p"/>
          </m:rPr>
          <m:t>=</m:t>
        </m:r>
        <m:r>
          <m:t>1</m:t>
        </m:r>
      </m:oMath>
      <w:r>
        <w:t xml:space="preserve"> </w:t>
      </w:r>
      <w:r>
        <w:t xml:space="preserve">for all subtypes; as</w:t>
      </w:r>
      <w:r>
        <w:t xml:space="preserve"> </w:t>
      </w:r>
      <m:oMath>
        <m:r>
          <m:t>β</m:t>
        </m:r>
      </m:oMath>
      <w:r>
        <w:t xml:space="preserve"> </w:t>
      </w:r>
      <w:r>
        <w:t xml:space="preserve">approaches 1,</w:t>
      </w:r>
      <w:r>
        <w:t xml:space="preserve"> </w:t>
      </w:r>
      <m:oMath>
        <m:sSub>
          <m:e>
            <m:r>
              <m:t>E</m:t>
            </m:r>
          </m:e>
          <m:sub>
            <m:r>
              <m:t>c</m:t>
            </m:r>
          </m:sub>
        </m:sSub>
      </m:oMath>
      <w:r>
        <w:t xml:space="preserve"> </w:t>
      </w:r>
      <w:r>
        <w:t xml:space="preserve">approaches the observed sample count</w:t>
      </w:r>
      <w:r>
        <w:t xml:space="preserve"> </w:t>
      </w:r>
      <m:oMath>
        <m:sSub>
          <m:e>
            <m:r>
              <m:t>n</m:t>
            </m:r>
          </m:e>
          <m:sub>
            <m:r>
              <m:t>c</m:t>
            </m:r>
          </m:sub>
        </m:sSub>
      </m:oMath>
      <w:r>
        <w:t xml:space="preserve">. TRIGEL further incorporates the tri-class group assignment into the subtype weight:</w:t>
      </w:r>
    </w:p>
    <w:p>
      <w:pPr>
        <w:pStyle w:val="19"/>
        <w:tabs>
          <w:tab w:val="right" w:pos="9360"/>
        </w:tabs>
      </w:pPr>
      <m:oMathPara>
        <m:oMathParaPr>
          <m:jc m:val="center"/>
        </m:oMathParaPr>
        <m:oMath>
          <m:sSub>
            <m:e>
              <m:r>
                <m:t>w</m:t>
              </m:r>
            </m:e>
            <m:sub>
              <m:r>
                <m:t>c</m:t>
              </m:r>
            </m:sub>
          </m:sSub>
          <m:r>
            <m:rPr>
              <m:sty m:val="p"/>
            </m:rPr>
            <m:t>=</m:t>
          </m:r>
          <m:f>
            <m:fPr>
              <m:type m:val="bar"/>
            </m:fPr>
            <m:num>
              <m:sSub>
                <m:e>
                  <m:r>
                    <m:t>τ</m:t>
                  </m:r>
                </m:e>
                <m:sub>
                  <m:r>
                    <m:t>t</m:t>
                  </m:r>
                  <m:d>
                    <m:dPr>
                      <m:begChr m:val="("/>
                      <m:endChr m:val=")"/>
                      <m:sepChr m:val=""/>
                      <m:grow/>
                    </m:dPr>
                    <m:e>
                      <m:r>
                        <m:t>c</m:t>
                      </m:r>
                    </m:e>
                  </m:d>
                </m:sub>
              </m:sSub>
            </m:num>
            <m:den>
              <m:sSub>
                <m:e>
                  <m:r>
                    <m:t>E</m:t>
                  </m:r>
                </m:e>
                <m:sub>
                  <m:r>
                    <m:t>c</m:t>
                  </m:r>
                </m:sub>
              </m:sSub>
              <m:r>
                <m:t> </m:t>
              </m:r>
              <m:acc>
                <m:accPr>
                  <m:chr m:val="‾"/>
                </m:accPr>
                <m:e>
                  <m:r>
                    <m:t>w</m:t>
                  </m:r>
                </m:e>
              </m:acc>
            </m:den>
          </m:f>
          <m:r>
            <m:rPr>
              <m:sty m:val="p"/>
            </m:rPr>
            <m:t>,</m:t>
          </m:r>
        </m:oMath>
      </m:oMathPara>
      <w:r>
        <w:tab/>
      </w:r>
      <w:r>
        <w:t>(4)</w:t>
      </w:r>
    </w:p>
    <w:p>
      <w:pPr>
        <w:pStyle w:val="FirstParagraph"/>
      </w:pPr>
      <w:r>
        <w:t xml:space="preserve">where</w:t>
      </w:r>
      <w:r>
        <w:t xml:space="preserve"> </w:t>
      </w:r>
      <m:oMath>
        <m:r>
          <m:t>t</m:t>
        </m:r>
        <m:d>
          <m:dPr>
            <m:begChr m:val="("/>
            <m:endChr m:val=")"/>
            <m:sepChr m:val=""/>
            <m:grow/>
          </m:dPr>
          <m:e>
            <m:r>
              <m:t>c</m:t>
            </m:r>
          </m:e>
        </m:d>
        <m:r>
          <m:rPr>
            <m:sty m:val="p"/>
          </m:rPr>
          <m:t>∈</m:t>
        </m:r>
        <m:r>
          <m:rPr>
            <m:sty m:val="p"/>
          </m:rPr>
          <m:t>{</m:t>
        </m:r>
        <m:r>
          <m:rPr>
            <m:sty m:val="p"/>
          </m:rPr>
          <m:t>m</m:t>
        </m:r>
        <m:r>
          <m:rPr>
            <m:sty m:val="p"/>
          </m:rPr>
          <m:t>i</m:t>
        </m:r>
        <m:r>
          <m:rPr>
            <m:sty m:val="p"/>
          </m:rPr>
          <m:t>n</m:t>
        </m:r>
        <m:r>
          <m:rPr>
            <m:sty m:val="p"/>
          </m:rPr>
          <m:t>o</m:t>
        </m:r>
        <m:r>
          <m:rPr>
            <m:sty m:val="p"/>
          </m:rPr>
          <m:t>r</m:t>
        </m:r>
        <m:r>
          <m:rPr>
            <m:sty m:val="p"/>
          </m:rPr>
          <m:t>i</m:t>
        </m:r>
        <m:r>
          <m:rPr>
            <m:sty m:val="p"/>
          </m:rPr>
          <m:t>t</m:t>
        </m:r>
        <m:r>
          <m:rPr>
            <m:sty m:val="p"/>
          </m:rPr>
          <m:t>y</m:t>
        </m:r>
        <m:r>
          <m:rPr>
            <m:sty m:val="p"/>
          </m:rPr>
          <m:t>,</m:t>
        </m:r>
        <m:r>
          <m:rPr>
            <m:sty m:val="p"/>
          </m:rPr>
          <m:t>i</m:t>
        </m:r>
        <m:r>
          <m:rPr>
            <m:sty m:val="p"/>
          </m:rPr>
          <m:t>n</m:t>
        </m:r>
        <m:r>
          <m:rPr>
            <m:sty m:val="p"/>
          </m:rPr>
          <m:t>t</m:t>
        </m:r>
        <m:r>
          <m:rPr>
            <m:sty m:val="p"/>
          </m:rPr>
          <m:t>e</m:t>
        </m:r>
        <m:r>
          <m:rPr>
            <m:sty m:val="p"/>
          </m:rPr>
          <m:t>r</m:t>
        </m:r>
        <m:r>
          <m:rPr>
            <m:sty m:val="p"/>
          </m:rPr>
          <m:t>m</m:t>
        </m:r>
        <m:r>
          <m:rPr>
            <m:sty m:val="p"/>
          </m:rPr>
          <m:t>e</m:t>
        </m:r>
        <m:r>
          <m:rPr>
            <m:sty m:val="p"/>
          </m:rPr>
          <m:t>d</m:t>
        </m:r>
        <m:r>
          <m:rPr>
            <m:sty m:val="p"/>
          </m:rPr>
          <m:t>i</m:t>
        </m:r>
        <m:r>
          <m:rPr>
            <m:sty m:val="p"/>
          </m:rPr>
          <m:t>a</m:t>
        </m:r>
        <m:r>
          <m:rPr>
            <m:sty m:val="p"/>
          </m:rPr>
          <m:t>t</m:t>
        </m:r>
        <m:r>
          <m:rPr>
            <m:sty m:val="p"/>
          </m:rPr>
          <m:t>e</m:t>
        </m:r>
        <m:r>
          <m:rPr>
            <m:sty m:val="p"/>
          </m:rPr>
          <m:t>,</m:t>
        </m:r>
        <m:r>
          <m:rPr>
            <m:sty m:val="p"/>
          </m:rPr>
          <m:t>m</m:t>
        </m:r>
        <m:r>
          <m:rPr>
            <m:sty m:val="p"/>
          </m:rPr>
          <m:t>a</m:t>
        </m:r>
        <m:r>
          <m:rPr>
            <m:sty m:val="p"/>
          </m:rPr>
          <m:t>j</m:t>
        </m:r>
        <m:r>
          <m:rPr>
            <m:sty m:val="p"/>
          </m:rPr>
          <m:t>o</m:t>
        </m:r>
        <m:r>
          <m:rPr>
            <m:sty m:val="p"/>
          </m:rPr>
          <m:t>r</m:t>
        </m:r>
        <m:r>
          <m:rPr>
            <m:sty m:val="p"/>
          </m:rPr>
          <m:t>i</m:t>
        </m:r>
        <m:r>
          <m:rPr>
            <m:sty m:val="p"/>
          </m:rPr>
          <m:t>t</m:t>
        </m:r>
        <m:r>
          <m:rPr>
            <m:sty m:val="p"/>
          </m:rPr>
          <m:t>y</m:t>
        </m:r>
        <m:r>
          <m:rPr>
            <m:sty m:val="p"/>
          </m:rPr>
          <m:t>}</m:t>
        </m:r>
      </m:oMath>
      <w:r>
        <w:t xml:space="preserve"> </w:t>
      </w:r>
      <w:r>
        <w:t xml:space="preserve">is the group assignment of subtype</w:t>
      </w:r>
      <w:r>
        <w:t xml:space="preserve"> </w:t>
      </w:r>
      <m:oMath>
        <m:r>
          <m:t>c</m:t>
        </m:r>
      </m:oMath>
      <w:r>
        <w:t xml:space="preserve">, and</w:t>
      </w:r>
      <w:r>
        <w:t xml:space="preserve"> </w:t>
      </w:r>
      <m:oMath>
        <m:sSub>
          <m:e>
            <m:r>
              <m:t>τ</m:t>
            </m:r>
          </m:e>
          <m:sub>
            <m:r>
              <m:t>t</m:t>
            </m:r>
            <m:d>
              <m:dPr>
                <m:begChr m:val="("/>
                <m:endChr m:val=")"/>
                <m:sepChr m:val=""/>
                <m:grow/>
              </m:dPr>
              <m:e>
                <m:r>
                  <m:t>c</m:t>
                </m:r>
              </m:e>
            </m:d>
          </m:sub>
        </m:sSub>
      </m:oMath>
      <w:r>
        <w:t xml:space="preserve"> </w:t>
      </w:r>
      <w:r>
        <w:t xml:space="preserve">is the corresponding group-specific multiplier. The normalization factor</w:t>
      </w:r>
      <w:r>
        <w:t xml:space="preserve"> </w:t>
      </w:r>
      <m:oMath>
        <m:acc>
          <m:accPr>
            <m:chr m:val="‾"/>
          </m:accPr>
          <m:e>
            <m:r>
              <m:t>w</m:t>
            </m:r>
          </m:e>
        </m:acc>
        <m:r>
          <m:rPr>
            <m:sty m:val="p"/>
          </m:rPr>
          <m:t>=</m:t>
        </m:r>
        <m:sSup>
          <m:e>
            <m:r>
              <m:t>C</m:t>
            </m:r>
          </m:e>
          <m:sup>
            <m:r>
              <m:rPr>
                <m:sty m:val="p"/>
              </m:rPr>
              <m:t>−</m:t>
            </m:r>
            <m:r>
              <m:t>1</m:t>
            </m:r>
          </m:sup>
        </m:sSup>
        <m:nary>
          <m:naryPr>
            <m:chr m:val="∑"/>
            <m:limLoc m:val="undOvr"/>
            <m:subHide m:val="0"/>
            <m:supHide m:val="0"/>
          </m:naryPr>
          <m:sub>
            <m:r>
              <m:t>j</m:t>
            </m:r>
            <m:r>
              <m:rPr>
                <m:sty m:val="p"/>
              </m:rPr>
              <m:t>=</m:t>
            </m:r>
            <m:r>
              <m:t>1</m:t>
            </m:r>
          </m:sub>
          <m:sup>
            <m:r>
              <m:t>C</m:t>
            </m:r>
          </m:sup>
          <m:e>
            <m:sSub>
              <m:e>
                <m:r>
                  <m:t>τ</m:t>
                </m:r>
              </m:e>
              <m:sub>
                <m:r>
                  <m:t>t</m:t>
                </m:r>
                <m:d>
                  <m:dPr>
                    <m:begChr m:val="("/>
                    <m:endChr m:val=")"/>
                    <m:sepChr m:val=""/>
                    <m:grow/>
                  </m:dPr>
                  <m:e>
                    <m:r>
                      <m:t>j</m:t>
                    </m:r>
                  </m:e>
                </m:d>
              </m:sub>
            </m:sSub>
          </m:e>
        </m:nary>
        <m:r>
          <m:rPr>
            <m:sty m:val="p"/>
          </m:rPr>
          <m:t>/</m:t>
        </m:r>
        <m:sSub>
          <m:e>
            <m:r>
              <m:t>E</m:t>
            </m:r>
          </m:e>
          <m:sub>
            <m:r>
              <m:t>j</m:t>
            </m:r>
          </m:sub>
        </m:sSub>
      </m:oMath>
      <w:r>
        <w:t xml:space="preserve"> </w:t>
      </w:r>
      <w:r>
        <w:t xml:space="preserve">ensures that the mean weight across all subtypes equals one. This weighting scheme combines the continuous frequency information captured by</w:t>
      </w:r>
      <w:r>
        <w:t xml:space="preserve"> </w:t>
      </w:r>
      <m:oMath>
        <m:sSub>
          <m:e>
            <m:r>
              <m:t>E</m:t>
            </m:r>
          </m:e>
          <m:sub>
            <m:r>
              <m:t>c</m:t>
            </m:r>
          </m:sub>
        </m:sSub>
      </m:oMath>
      <w:r>
        <w:t xml:space="preserve"> </w:t>
      </w:r>
      <w:r>
        <w:t xml:space="preserve">with the discrete group information produced by TGS.</w:t>
      </w:r>
    </w:p>
    <w:bookmarkEnd w:id="21"/>
    <w:bookmarkEnd w:id="22"/>
    <w:bookmarkStart w:id="25" w:name="multi-dimensional-graph-enhancement"/>
    <w:p>
      <w:pPr>
        <w:pStyle w:val="4"/>
      </w:pPr>
      <w:r>
        <w:t xml:space="preserve">3.2 Multi-dimensional Graph Enhancement</w:t>
      </w:r>
    </w:p>
    <w:p>
      <w:pPr>
        <w:pStyle w:val="FirstParagraph"/>
      </w:pPr>
      <w:r>
        <w:t xml:space="preserve">MGE mitigates feature and topological imbalance by enhancing each original graph</w:t>
      </w:r>
      <w:r>
        <w:t xml:space="preserve"> </w:t>
      </w:r>
      <m:oMath>
        <m:sSub>
          <m:e>
            <m:r>
              <m:t>G</m:t>
            </m:r>
          </m:e>
          <m:sub>
            <m:r>
              <m:t>v</m:t>
            </m:r>
          </m:sub>
        </m:sSub>
        <m:r>
          <m:rPr>
            <m:sty m:val="p"/>
          </m:rPr>
          <m:t>=</m:t>
        </m:r>
        <m:d>
          <m:dPr>
            <m:begChr m:val="("/>
            <m:endChr m:val=")"/>
            <m:sepChr m:val=""/>
            <m:grow/>
          </m:dPr>
          <m:e>
            <m:sSub>
              <m:e>
                <m:r>
                  <m:t>X</m:t>
                </m:r>
              </m:e>
              <m:sub>
                <m:r>
                  <m:t>v</m:t>
                </m:r>
              </m:sub>
            </m:sSub>
            <m:r>
              <m:rPr>
                <m:sty m:val="p"/>
              </m:rPr>
              <m:t>,</m:t>
            </m:r>
            <m:sSub>
              <m:e>
                <m:r>
                  <m:t>A</m:t>
                </m:r>
              </m:e>
              <m:sub>
                <m:r>
                  <m:t>v</m:t>
                </m:r>
              </m:sub>
            </m:sSub>
          </m:e>
        </m:d>
      </m:oMath>
      <w:r>
        <w:t xml:space="preserve"> </w:t>
      </w:r>
      <w:r>
        <w:t xml:space="preserve">along the feature and topology dimensions. The two enhancement operations are guided by the group assignments produced by TGS and are applied to training nodes only. They produce an enhanced graph</w:t>
      </w:r>
      <w:r>
        <w:t xml:space="preserve"> </w:t>
      </w:r>
      <m:oMath>
        <m:sSub>
          <m:e>
            <m:acc>
              <m:accPr>
                <m:chr m:val="̂"/>
              </m:accPr>
              <m:e>
                <m:r>
                  <m:t>G</m:t>
                </m:r>
              </m:e>
            </m:acc>
          </m:e>
          <m:sub>
            <m:r>
              <m:t>v</m:t>
            </m:r>
          </m:sub>
        </m:sSub>
        <m:r>
          <m:rPr>
            <m:sty m:val="p"/>
          </m:rPr>
          <m:t>=</m:t>
        </m:r>
        <m:d>
          <m:dPr>
            <m:begChr m:val="("/>
            <m:endChr m:val=")"/>
            <m:sepChr m:val=""/>
            <m:grow/>
          </m:dPr>
          <m:e>
            <m:sSub>
              <m:e>
                <m:acc>
                  <m:accPr>
                    <m:chr m:val="̂"/>
                  </m:accPr>
                  <m:e>
                    <m:r>
                      <m:t>X</m:t>
                    </m:r>
                  </m:e>
                </m:acc>
              </m:e>
              <m:sub>
                <m:r>
                  <m:t>v</m:t>
                </m:r>
              </m:sub>
            </m:sSub>
            <m:r>
              <m:rPr>
                <m:sty m:val="p"/>
              </m:rPr>
              <m:t>,</m:t>
            </m:r>
            <m:sSub>
              <m:e>
                <m:acc>
                  <m:accPr>
                    <m:chr m:val="̂"/>
                  </m:accPr>
                  <m:e>
                    <m:r>
                      <m:t>A</m:t>
                    </m:r>
                  </m:e>
                </m:acc>
              </m:e>
              <m:sub>
                <m:r>
                  <m:t>v</m:t>
                </m:r>
              </m:sub>
            </m:sSub>
            <m:r>
              <m:rPr>
                <m:sty m:val="p"/>
              </m:rPr>
              <m:t>,</m:t>
            </m:r>
            <m:sSub>
              <m:e>
                <m:r>
                  <m:t>W</m:t>
                </m:r>
              </m:e>
              <m:sub>
                <m:r>
                  <m:t>v</m:t>
                </m:r>
              </m:sub>
            </m:sSub>
          </m:e>
        </m:d>
      </m:oMath>
      <w:r>
        <w:t xml:space="preserve">, where</w:t>
      </w:r>
      <w:r>
        <w:t xml:space="preserve"> </w:t>
      </w:r>
      <m:oMath>
        <m:sSub>
          <m:e>
            <m:acc>
              <m:accPr>
                <m:chr m:val="̂"/>
              </m:accPr>
              <m:e>
                <m:r>
                  <m:t>X</m:t>
                </m:r>
              </m:e>
            </m:acc>
          </m:e>
          <m:sub>
            <m:r>
              <m:t>v</m:t>
            </m:r>
          </m:sub>
        </m:sSub>
      </m:oMath>
      <w:r>
        <w:t xml:space="preserve"> </w:t>
      </w:r>
      <w:r>
        <w:t xml:space="preserve">is the enhanced feature matrix,</w:t>
      </w:r>
      <w:r>
        <w:t xml:space="preserve"> </w:t>
      </w:r>
      <m:oMath>
        <m:sSub>
          <m:e>
            <m:acc>
              <m:accPr>
                <m:chr m:val="̂"/>
              </m:accPr>
              <m:e>
                <m:r>
                  <m:t>A</m:t>
                </m:r>
              </m:e>
            </m:acc>
          </m:e>
          <m:sub>
            <m:r>
              <m:t>v</m:t>
            </m:r>
          </m:sub>
        </m:sSub>
      </m:oMath>
      <w:r>
        <w:t xml:space="preserve"> </w:t>
      </w:r>
      <w:r>
        <w:t xml:space="preserve">is the modified adjacency matrix, and</w:t>
      </w:r>
      <w:r>
        <w:t xml:space="preserve"> </w:t>
      </w:r>
      <m:oMath>
        <m:sSub>
          <m:e>
            <m:r>
              <m:t>W</m:t>
            </m:r>
          </m:e>
          <m:sub>
            <m:r>
              <m:t>v</m:t>
            </m:r>
          </m:sub>
        </m:sSub>
      </m:oMath>
      <w:r>
        <w:t xml:space="preserve"> </w:t>
      </w:r>
      <w:r>
        <w:t xml:space="preserve">contains the class-aware edge weights. Validation and test nodes retain their original features and connections.</w:t>
      </w:r>
    </w:p>
    <w:bookmarkStart w:id="23" w:name="class-guided-feature-enhancement"/>
    <w:p>
      <w:pPr>
        <w:pStyle w:val="5"/>
      </w:pPr>
      <w:r>
        <w:t xml:space="preserve">3.2.1 Class-Guided Feature Enhancement</w:t>
      </w:r>
    </w:p>
    <w:p>
      <w:pPr>
        <w:pStyle w:val="FirstParagraph"/>
      </w:pPr>
      <w:r>
        <w:t xml:space="preserve">Class-guided feature enhancement retains more information for minority-group nodes, applies moderate masking to intermediate-group nodes, and more strongly suppresses low-significance features for majority-group nodes. Feature significance is estimated by combining feature magnitude with node centrality in the original patient graph.</w:t>
      </w:r>
    </w:p>
    <w:p>
      <w:pPr>
        <w:pStyle w:val="19"/>
      </w:pPr>
      <w:r>
        <w:t xml:space="preserve">Node centrality is measured using PageRank:</w:t>
      </w:r>
    </w:p>
    <w:p>
      <w:pPr>
        <w:pStyle w:val="19"/>
        <w:tabs>
          <w:tab w:val="right" w:pos="9360"/>
        </w:tabs>
      </w:pPr>
      <m:oMathPara>
        <m:oMathParaPr>
          <m:jc m:val="center"/>
        </m:oMathParaPr>
        <m:oMath>
          <m:r>
            <m:t>P</m:t>
          </m:r>
          <m:r>
            <m:t>R</m:t>
          </m:r>
          <m:d>
            <m:dPr>
              <m:begChr m:val="("/>
              <m:endChr m:val=")"/>
              <m:sepChr m:val=""/>
              <m:grow/>
            </m:dPr>
            <m:e>
              <m:r>
                <m:t>i</m:t>
              </m:r>
            </m:e>
          </m:d>
          <m:r>
            <m:rPr>
              <m:sty m:val="p"/>
            </m:rPr>
            <m:t>=</m:t>
          </m:r>
          <m:r>
            <m:t>α</m:t>
          </m:r>
          <m:nary>
            <m:naryPr>
              <m:chr m:val="∑"/>
              <m:limLoc m:val="undOvr"/>
              <m:subHide m:val="0"/>
              <m:supHide m:val="1"/>
            </m:naryPr>
            <m:sub>
              <m:r>
                <m:t>j</m:t>
              </m:r>
              <m:r>
                <m:rPr>
                  <m:sty m:val="p"/>
                </m:rPr>
                <m:t>∈</m:t>
              </m:r>
              <m:r>
                <m:rPr>
                  <m:sty m:val="p"/>
                  <m:scr m:val="script"/>
                </m:rPr>
                <m:t>N</m:t>
              </m:r>
              <m:d>
                <m:dPr>
                  <m:begChr m:val="("/>
                  <m:endChr m:val=")"/>
                  <m:sepChr m:val=""/>
                  <m:grow/>
                </m:dPr>
                <m:e>
                  <m:r>
                    <m:t>i</m:t>
                  </m:r>
                </m:e>
              </m:d>
            </m:sub>
            <m:sup>
              <m:r>
                <m:t>​</m:t>
              </m:r>
            </m:sup>
            <m:e>
              <m:f>
                <m:fPr>
                  <m:type m:val="bar"/>
                </m:fPr>
                <m:num>
                  <m:sSub>
                    <m:e>
                      <m:r>
                        <m:t>A</m:t>
                      </m:r>
                    </m:e>
                    <m:sub>
                      <m:r>
                        <m:t>j</m:t>
                      </m:r>
                      <m:r>
                        <m:t>i</m:t>
                      </m:r>
                    </m:sub>
                  </m:sSub>
                </m:num>
                <m:den>
                  <m:sSubSup>
                    <m:e>
                      <m:r>
                        <m:t>d</m:t>
                      </m:r>
                    </m:e>
                    <m:sub>
                      <m:r>
                        <m:t>j</m:t>
                      </m:r>
                    </m:sub>
                    <m:sup>
                      <m:r>
                        <m:rPr>
                          <m:sty m:val="p"/>
                        </m:rPr>
                        <m:t>o</m:t>
                      </m:r>
                      <m:r>
                        <m:rPr>
                          <m:sty m:val="p"/>
                        </m:rPr>
                        <m:t>u</m:t>
                      </m:r>
                      <m:r>
                        <m:rPr>
                          <m:sty m:val="p"/>
                        </m:rPr>
                        <m:t>t</m:t>
                      </m:r>
                    </m:sup>
                  </m:sSubSup>
                </m:den>
              </m:f>
            </m:e>
          </m:nary>
          <m:r>
            <m:t>P</m:t>
          </m:r>
          <m:r>
            <m:t>R</m:t>
          </m:r>
          <m:d>
            <m:dPr>
              <m:begChr m:val="("/>
              <m:endChr m:val=")"/>
              <m:sepChr m:val=""/>
              <m:grow/>
            </m:dPr>
            <m:e>
              <m:r>
                <m:t>j</m:t>
              </m:r>
            </m:e>
          </m:d>
          <m:r>
            <m:rPr>
              <m:sty m:val="p"/>
            </m:rPr>
            <m:t>+</m:t>
          </m:r>
          <m:f>
            <m:fPr>
              <m:type m:val="bar"/>
            </m:fPr>
            <m:num>
              <m:r>
                <m:t>1</m:t>
              </m:r>
              <m:r>
                <m:rPr>
                  <m:sty m:val="p"/>
                </m:rPr>
                <m:t>−</m:t>
              </m:r>
              <m:r>
                <m:t>α</m:t>
              </m:r>
            </m:num>
            <m:den>
              <m:r>
                <m:t>N</m:t>
              </m:r>
            </m:den>
          </m:f>
          <m:r>
            <m:rPr>
              <m:sty m:val="p"/>
            </m:rPr>
            <m:t>,</m:t>
          </m:r>
        </m:oMath>
      </m:oMathPara>
      <w:r>
        <w:tab/>
      </w:r>
      <w:r>
        <w:t>(5)</w:t>
      </w:r>
    </w:p>
    <w:p>
      <w:pPr>
        <w:pStyle w:val="FirstParagraph"/>
      </w:pPr>
      <w:r>
        <w:t xml:space="preserve">where</w:t>
      </w:r>
      <w:r>
        <w:t xml:space="preserve"> </w:t>
      </w:r>
      <m:oMath>
        <m:r>
          <m:t>α</m:t>
        </m:r>
        <m:r>
          <m:rPr>
            <m:sty m:val="p"/>
          </m:rPr>
          <m:t>∈</m:t>
        </m:r>
        <m:d>
          <m:dPr>
            <m:begChr m:val="("/>
            <m:endChr m:val=")"/>
            <m:sepChr m:val=""/>
            <m:grow/>
          </m:dPr>
          <m:e>
            <m:r>
              <m:t>0</m:t>
            </m:r>
            <m:r>
              <m:rPr>
                <m:sty m:val="p"/>
              </m:rPr>
              <m:t>,</m:t>
            </m:r>
            <m:r>
              <m:t>1</m:t>
            </m:r>
          </m:e>
        </m:d>
      </m:oMath>
      <w:r>
        <w:t xml:space="preserve"> </w:t>
      </w:r>
      <w:r>
        <w:t xml:space="preserve">is the damping factor,</w:t>
      </w:r>
      <w:r>
        <w:t xml:space="preserve"> </w:t>
      </w:r>
      <m:oMath>
        <m:r>
          <m:rPr>
            <m:sty m:val="p"/>
            <m:scr m:val="script"/>
          </m:rPr>
          <m:t>N</m:t>
        </m:r>
        <m:d>
          <m:dPr>
            <m:begChr m:val="("/>
            <m:endChr m:val=")"/>
            <m:sepChr m:val=""/>
            <m:grow/>
          </m:dPr>
          <m:e>
            <m:r>
              <m:t>i</m:t>
            </m:r>
          </m:e>
        </m:d>
      </m:oMath>
      <w:r>
        <w:t xml:space="preserve"> </w:t>
      </w:r>
      <w:r>
        <w:t xml:space="preserve">is the set of nodes connected to node</w:t>
      </w:r>
      <w:r>
        <w:t xml:space="preserve"> </w:t>
      </w:r>
      <m:oMath>
        <m:r>
          <m:t>i</m:t>
        </m:r>
      </m:oMath>
      <w:r>
        <w:t xml:space="preserve">, and</w:t>
      </w:r>
      <w:r>
        <w:t xml:space="preserve"> </w:t>
      </w:r>
      <m:oMath>
        <m:sSubSup>
          <m:e>
            <m:r>
              <m:t>d</m:t>
            </m:r>
          </m:e>
          <m:sub>
            <m:r>
              <m:t>j</m:t>
            </m:r>
          </m:sub>
          <m:sup>
            <m:r>
              <m:rPr>
                <m:sty m:val="p"/>
              </m:rPr>
              <m:t>o</m:t>
            </m:r>
            <m:r>
              <m:rPr>
                <m:sty m:val="p"/>
              </m:rPr>
              <m:t>u</m:t>
            </m:r>
            <m:r>
              <m:rPr>
                <m:sty m:val="p"/>
              </m:rPr>
              <m:t>t</m:t>
            </m:r>
          </m:sup>
        </m:sSubSup>
        <m:r>
          <m:rPr>
            <m:sty m:val="p"/>
          </m:rPr>
          <m:t>=</m:t>
        </m:r>
        <m:nary>
          <m:naryPr>
            <m:chr m:val="∑"/>
            <m:limLoc m:val="undOvr"/>
            <m:subHide m:val="0"/>
            <m:supHide m:val="0"/>
          </m:naryPr>
          <m:sub>
            <m:r>
              <m:t>k</m:t>
            </m:r>
            <m:r>
              <m:rPr>
                <m:sty m:val="p"/>
              </m:rPr>
              <m:t>=</m:t>
            </m:r>
            <m:r>
              <m:t>1</m:t>
            </m:r>
          </m:sub>
          <m:sup>
            <m:r>
              <m:t>N</m:t>
            </m:r>
          </m:sup>
          <m:e>
            <m:sSub>
              <m:e>
                <m:r>
                  <m:t>A</m:t>
                </m:r>
              </m:e>
              <m:sub>
                <m:r>
                  <m:t>j</m:t>
                </m:r>
                <m:r>
                  <m:t>k</m:t>
                </m:r>
              </m:sub>
            </m:sSub>
          </m:e>
        </m:nary>
      </m:oMath>
      <w:r>
        <w:t xml:space="preserve">. Because the patient graphs are undirected,</w:t>
      </w:r>
      <w:r>
        <w:t xml:space="preserve"> </w:t>
      </w:r>
      <m:oMath>
        <m:sSub>
          <m:e>
            <m:r>
              <m:t>A</m:t>
            </m:r>
          </m:e>
          <m:sub>
            <m:r>
              <m:t>j</m:t>
            </m:r>
            <m:r>
              <m:t>i</m:t>
            </m:r>
          </m:sub>
        </m:sSub>
        <m:r>
          <m:rPr>
            <m:sty m:val="p"/>
          </m:rPr>
          <m:t>=</m:t>
        </m:r>
        <m:sSub>
          <m:e>
            <m:r>
              <m:t>A</m:t>
            </m:r>
          </m:e>
          <m:sub>
            <m:r>
              <m:t>i</m:t>
            </m:r>
            <m:r>
              <m:t>j</m:t>
            </m:r>
          </m:sub>
        </m:sSub>
      </m:oMath>
      <w:r>
        <w:t xml:space="preserve">.</w:t>
      </w:r>
    </w:p>
    <w:p>
      <w:pPr>
        <w:pStyle w:val="19"/>
      </w:pPr>
      <w:r>
        <w:t xml:space="preserve">The structural significance score of feature dimension</w:t>
      </w:r>
      <w:r>
        <w:t xml:space="preserve"> </w:t>
      </w:r>
      <m:oMath>
        <m:r>
          <m:t>f</m:t>
        </m:r>
      </m:oMath>
      <w:r>
        <w:t xml:space="preserve"> </w:t>
      </w:r>
      <w:r>
        <w:t xml:space="preserve">is defined as</w:t>
      </w:r>
    </w:p>
    <w:p>
      <w:pPr>
        <w:pStyle w:val="19"/>
        <w:tabs>
          <w:tab w:val="right" w:pos="9360"/>
        </w:tabs>
      </w:pPr>
      <m:oMathPara>
        <m:oMathParaPr>
          <m:jc m:val="center"/>
        </m:oMathParaPr>
        <m:oMath>
          <m:sSub>
            <m:e>
              <m:r>
                <m:t>s</m:t>
              </m:r>
            </m:e>
            <m:sub>
              <m:r>
                <m:t>f</m:t>
              </m:r>
            </m:sub>
          </m:sSub>
          <m:r>
            <m:rPr>
              <m:sty m:val="p"/>
            </m:rPr>
            <m:t>=</m:t>
          </m:r>
          <m:nary>
            <m:naryPr>
              <m:chr m:val="∑"/>
              <m:limLoc m:val="undOvr"/>
              <m:subHide m:val="0"/>
              <m:supHide m:val="0"/>
            </m:naryPr>
            <m:sub>
              <m:r>
                <m:t>i</m:t>
              </m:r>
              <m:r>
                <m:rPr>
                  <m:sty m:val="p"/>
                </m:rPr>
                <m:t>=</m:t>
              </m:r>
              <m:r>
                <m:t>1</m:t>
              </m:r>
            </m:sub>
            <m:sup>
              <m:r>
                <m:t>N</m:t>
              </m:r>
            </m:sup>
            <m:e>
              <m:d>
                <m:dPr>
                  <m:begChr m:val="|"/>
                  <m:endChr m:val="|"/>
                  <m:sepChr m:val=""/>
                  <m:grow/>
                </m:dPr>
                <m:e>
                  <m:sSub>
                    <m:e>
                      <m:r>
                        <m:t>x</m:t>
                      </m:r>
                    </m:e>
                    <m:sub>
                      <m:r>
                        <m:t>i</m:t>
                      </m:r>
                      <m:r>
                        <m:t>f</m:t>
                      </m:r>
                    </m:sub>
                  </m:sSub>
                </m:e>
              </m:d>
            </m:e>
          </m:nary>
          <m:r>
            <m:t> </m:t>
          </m:r>
          <m:r>
            <m:t>P</m:t>
          </m:r>
          <m:r>
            <m:t>R</m:t>
          </m:r>
          <m:d>
            <m:dPr>
              <m:begChr m:val="("/>
              <m:endChr m:val=")"/>
              <m:sepChr m:val=""/>
              <m:grow/>
            </m:dPr>
            <m:e>
              <m:r>
                <m:t>i</m:t>
              </m:r>
            </m:e>
          </m:d>
          <m:r>
            <m:rPr>
              <m:sty m:val="p"/>
            </m:rPr>
            <m:t>,</m:t>
          </m:r>
        </m:oMath>
      </m:oMathPara>
      <w:r>
        <w:tab/>
      </w:r>
      <w:r>
        <w:t>(6)</w:t>
      </w:r>
    </w:p>
    <w:p>
      <w:pPr>
        <w:pStyle w:val="FirstParagraph"/>
      </w:pPr>
      <w:r>
        <w:t xml:space="preserve">where</w:t>
      </w:r>
      <w:r>
        <w:t xml:space="preserve"> </w:t>
      </w:r>
      <m:oMath>
        <m:sSub>
          <m:e>
            <m:r>
              <m:t>x</m:t>
            </m:r>
          </m:e>
          <m:sub>
            <m:r>
              <m:t>i</m:t>
            </m:r>
            <m:r>
              <m:t>f</m:t>
            </m:r>
          </m:sub>
        </m:sSub>
      </m:oMath>
      <w:r>
        <w:t xml:space="preserve"> </w:t>
      </w:r>
      <w:r>
        <w:t xml:space="preserve">is the value of feature</w:t>
      </w:r>
      <w:r>
        <w:t xml:space="preserve"> </w:t>
      </w:r>
      <m:oMath>
        <m:r>
          <m:t>f</m:t>
        </m:r>
      </m:oMath>
      <w:r>
        <w:t xml:space="preserve"> </w:t>
      </w:r>
      <w:r>
        <w:t xml:space="preserve">for node</w:t>
      </w:r>
      <w:r>
        <w:t xml:space="preserve"> </w:t>
      </w:r>
      <m:oMath>
        <m:r>
          <m:t>i</m:t>
        </m:r>
      </m:oMath>
      <w:r>
        <w:t xml:space="preserve">. A larger</w:t>
      </w:r>
      <w:r>
        <w:t xml:space="preserve"> </w:t>
      </w:r>
      <m:oMath>
        <m:sSub>
          <m:e>
            <m:r>
              <m:t>s</m:t>
            </m:r>
          </m:e>
          <m:sub>
            <m:r>
              <m:t>f</m:t>
            </m:r>
          </m:sub>
        </m:sSub>
      </m:oMath>
      <w:r>
        <w:t xml:space="preserve"> </w:t>
      </w:r>
      <w:r>
        <w:t xml:space="preserve">indicates that the feature has a larger magnitude among structurally prominent nodes.</w:t>
      </w:r>
    </w:p>
    <w:p>
      <w:pPr>
        <w:pStyle w:val="19"/>
      </w:pPr>
      <w:r>
        <w:t xml:space="preserve">To stabilize the scale,</w:t>
      </w:r>
      <w:r>
        <w:t xml:space="preserve"> </w:t>
      </w:r>
      <m:oMath>
        <m:sSub>
          <m:e>
            <m:r>
              <m:t>s</m:t>
            </m:r>
          </m:e>
          <m:sub>
            <m:r>
              <m:t>f</m:t>
            </m:r>
          </m:sub>
        </m:sSub>
      </m:oMath>
      <w:r>
        <w:t xml:space="preserve"> </w:t>
      </w:r>
      <w:r>
        <w:t xml:space="preserve">is replaced by</w:t>
      </w:r>
      <w:r>
        <w:t xml:space="preserve"> </w:t>
      </w:r>
      <m:oMath>
        <m:r>
          <m:rPr>
            <m:sty m:val="p"/>
          </m:rPr>
          <m:t>log</m:t>
        </m:r>
        <m:d>
          <m:dPr>
            <m:begChr m:val="("/>
            <m:endChr m:val=")"/>
            <m:sepChr m:val=""/>
            <m:grow/>
          </m:dPr>
          <m:e>
            <m:sSub>
              <m:e>
                <m:r>
                  <m:t>s</m:t>
                </m:r>
              </m:e>
              <m:sub>
                <m:r>
                  <m:t>f</m:t>
                </m:r>
              </m:sub>
            </m:sSub>
            <m:r>
              <m:rPr>
                <m:sty m:val="p"/>
              </m:rPr>
              <m:t>+</m:t>
            </m:r>
            <m:r>
              <m:t>ϵ</m:t>
            </m:r>
          </m:e>
        </m:d>
      </m:oMath>
      <w:r>
        <w:t xml:space="preserve">, where</w:t>
      </w:r>
      <w:r>
        <w:t xml:space="preserve"> </w:t>
      </w:r>
      <m:oMath>
        <m:r>
          <m:t>ϵ</m:t>
        </m:r>
        <m:r>
          <m:rPr>
            <m:sty m:val="p"/>
          </m:rPr>
          <m:t>&gt;</m:t>
        </m:r>
        <m:r>
          <m:t>0</m:t>
        </m:r>
      </m:oMath>
      <w:r>
        <w:t xml:space="preserve"> </w:t>
      </w:r>
      <w:r>
        <w:t xml:space="preserve">is a small constant introduced for numerical stability. The relative masking score is then computed using reverse min-max normalization:</w:t>
      </w:r>
    </w:p>
    <w:p>
      <w:pPr>
        <w:pStyle w:val="19"/>
        <w:tabs>
          <w:tab w:val="right" w:pos="9360"/>
        </w:tabs>
      </w:pPr>
      <m:oMathPara>
        <m:oMathParaPr>
          <m:jc m:val="center"/>
        </m:oMathParaPr>
        <m:oMath>
          <m:sSub>
            <m:e>
              <m:r>
                <m:t>ρ</m:t>
              </m:r>
            </m:e>
            <m:sub>
              <m:r>
                <m:t>f</m:t>
              </m:r>
            </m:sub>
          </m:sSub>
          <m:r>
            <m:rPr>
              <m:sty m:val="p"/>
            </m:rPr>
            <m:t>=</m:t>
          </m:r>
          <m:f>
            <m:fPr>
              <m:type m:val="bar"/>
            </m:fPr>
            <m:num>
              <m:sSub>
                <m:e>
                  <m:r>
                    <m:t>s</m:t>
                  </m:r>
                </m:e>
                <m:sub>
                  <m:r>
                    <m:t>f</m:t>
                  </m:r>
                  <m:r>
                    <m:rPr>
                      <m:sty m:val="p"/>
                    </m:rPr>
                    <m:t>,</m:t>
                  </m:r>
                  <m:r>
                    <m:rPr>
                      <m:sty m:val="p"/>
                    </m:rPr>
                    <m:t>max</m:t>
                  </m:r>
                </m:sub>
              </m:sSub>
              <m:r>
                <m:rPr>
                  <m:sty m:val="p"/>
                </m:rPr>
                <m:t>−</m:t>
              </m:r>
              <m:sSub>
                <m:e>
                  <m:r>
                    <m:t>s</m:t>
                  </m:r>
                </m:e>
                <m:sub>
                  <m:r>
                    <m:t>f</m:t>
                  </m:r>
                </m:sub>
              </m:sSub>
            </m:num>
            <m:den>
              <m:sSub>
                <m:e>
                  <m:r>
                    <m:t>s</m:t>
                  </m:r>
                </m:e>
                <m:sub>
                  <m:r>
                    <m:t>f</m:t>
                  </m:r>
                  <m:r>
                    <m:rPr>
                      <m:sty m:val="p"/>
                    </m:rPr>
                    <m:t>,</m:t>
                  </m:r>
                  <m:r>
                    <m:rPr>
                      <m:sty m:val="p"/>
                    </m:rPr>
                    <m:t>max</m:t>
                  </m:r>
                </m:sub>
              </m:sSub>
              <m:r>
                <m:rPr>
                  <m:sty m:val="p"/>
                </m:rPr>
                <m:t>−</m:t>
              </m:r>
              <m:sSub>
                <m:e>
                  <m:r>
                    <m:t>s</m:t>
                  </m:r>
                </m:e>
                <m:sub>
                  <m:r>
                    <m:t>f</m:t>
                  </m:r>
                  <m:r>
                    <m:rPr>
                      <m:sty m:val="p"/>
                    </m:rPr>
                    <m:t>,</m:t>
                  </m:r>
                  <m:r>
                    <m:rPr>
                      <m:sty m:val="p"/>
                    </m:rPr>
                    <m:t>min</m:t>
                  </m:r>
                </m:sub>
              </m:sSub>
              <m:r>
                <m:rPr>
                  <m:sty m:val="p"/>
                </m:rPr>
                <m:t>+</m:t>
              </m:r>
              <m:r>
                <m:t>ϵ</m:t>
              </m:r>
            </m:den>
          </m:f>
          <m:r>
            <m:rPr>
              <m:sty m:val="p"/>
            </m:rPr>
            <m:t>,</m:t>
          </m:r>
        </m:oMath>
      </m:oMathPara>
      <w:r>
        <w:tab/>
      </w:r>
      <w:r>
        <w:t>(7)</w:t>
      </w:r>
    </w:p>
    <w:p>
      <w:pPr>
        <w:pStyle w:val="FirstParagraph"/>
      </w:pPr>
      <w:r>
        <w:t xml:space="preserve">where</w:t>
      </w:r>
      <w:r>
        <w:t xml:space="preserve"> </w:t>
      </w:r>
      <m:oMath>
        <m:sSub>
          <m:e>
            <m:r>
              <m:t>s</m:t>
            </m:r>
          </m:e>
          <m:sub>
            <m:r>
              <m:t>f</m:t>
            </m:r>
            <m:r>
              <m:rPr>
                <m:sty m:val="p"/>
              </m:rPr>
              <m:t>,</m:t>
            </m:r>
            <m:r>
              <m:rPr>
                <m:sty m:val="p"/>
              </m:rPr>
              <m:t>max</m:t>
            </m:r>
          </m:sub>
        </m:sSub>
      </m:oMath>
      <w:r>
        <w:t xml:space="preserve"> </w:t>
      </w:r>
      <w:r>
        <w:t xml:space="preserve">and</w:t>
      </w:r>
      <w:r>
        <w:t xml:space="preserve"> </w:t>
      </w:r>
      <m:oMath>
        <m:sSub>
          <m:e>
            <m:r>
              <m:t>s</m:t>
            </m:r>
          </m:e>
          <m:sub>
            <m:r>
              <m:t>f</m:t>
            </m:r>
            <m:r>
              <m:rPr>
                <m:sty m:val="p"/>
              </m:rPr>
              <m:t>,</m:t>
            </m:r>
            <m:r>
              <m:rPr>
                <m:sty m:val="p"/>
              </m:rPr>
              <m:t>min</m:t>
            </m:r>
          </m:sub>
        </m:sSub>
      </m:oMath>
      <w:r>
        <w:t xml:space="preserve"> </w:t>
      </w:r>
      <w:r>
        <w:t xml:space="preserve">are the maximum and minimum transformed scores across all feature dimensions. A larger</w:t>
      </w:r>
      <w:r>
        <w:t xml:space="preserve"> </w:t>
      </w:r>
      <m:oMath>
        <m:sSub>
          <m:e>
            <m:r>
              <m:t>ρ</m:t>
            </m:r>
          </m:e>
          <m:sub>
            <m:r>
              <m:t>f</m:t>
            </m:r>
          </m:sub>
        </m:sSub>
      </m:oMath>
      <w:r>
        <w:t xml:space="preserve"> </w:t>
      </w:r>
      <w:r>
        <w:t xml:space="preserve">indicates lower structural significance and therefore a greater tendency to be masked.</w:t>
      </w:r>
    </w:p>
    <w:p>
      <w:pPr>
        <w:pStyle w:val="19"/>
      </w:pPr>
      <w:r>
        <w:t xml:space="preserve">For a training node</w:t>
      </w:r>
      <w:r>
        <w:t xml:space="preserve"> </w:t>
      </w:r>
      <m:oMath>
        <m:r>
          <m:t>n</m:t>
        </m:r>
      </m:oMath>
      <w:r>
        <w:t xml:space="preserve"> </w:t>
      </w:r>
      <w:r>
        <w:t xml:space="preserve">with subtype label</w:t>
      </w:r>
      <w:r>
        <w:t xml:space="preserve"> </w:t>
      </w:r>
      <m:oMath>
        <m:sSub>
          <m:e>
            <m:r>
              <m:t>y</m:t>
            </m:r>
          </m:e>
          <m:sub>
            <m:r>
              <m:t>n</m:t>
            </m:r>
          </m:sub>
        </m:sSub>
      </m:oMath>
      <w:r>
        <w:t xml:space="preserve">, the masking probability of feature</w:t>
      </w:r>
      <w:r>
        <w:t xml:space="preserve"> </w:t>
      </w:r>
      <m:oMath>
        <m:r>
          <m:t>f</m:t>
        </m:r>
      </m:oMath>
      <w:r>
        <w:t xml:space="preserve"> </w:t>
      </w:r>
      <w:r>
        <w:t xml:space="preserve">is</w:t>
      </w:r>
    </w:p>
    <w:p>
      <w:pPr>
        <w:pStyle w:val="19"/>
        <w:tabs>
          <w:tab w:val="right" w:pos="9360"/>
        </w:tabs>
      </w:pPr>
      <m:oMathPara>
        <m:oMathParaPr>
          <m:jc m:val="center"/>
        </m:oMathParaPr>
        <m:oMath>
          <m:sSubSup>
            <m:e>
              <m:r>
                <m:t>p</m:t>
              </m:r>
            </m:e>
            <m:sub>
              <m:r>
                <m:rPr>
                  <m:sty m:val="p"/>
                </m:rPr>
                <m:t>d</m:t>
              </m:r>
              <m:r>
                <m:rPr>
                  <m:sty m:val="p"/>
                </m:rPr>
                <m:t>r</m:t>
              </m:r>
              <m:r>
                <m:rPr>
                  <m:sty m:val="p"/>
                </m:rPr>
                <m:t>o</m:t>
              </m:r>
              <m:r>
                <m:rPr>
                  <m:sty m:val="p"/>
                </m:rPr>
                <m:t>p</m:t>
              </m:r>
            </m:sub>
            <m:sup>
              <m:d>
                <m:dPr>
                  <m:begChr m:val="("/>
                  <m:endChr m:val=")"/>
                  <m:sepChr m:val=""/>
                  <m:grow/>
                </m:dPr>
                <m:e>
                  <m:r>
                    <m:t>n</m:t>
                  </m:r>
                </m:e>
              </m:d>
            </m:sup>
          </m:sSubSup>
          <m:d>
            <m:dPr>
              <m:begChr m:val="("/>
              <m:endChr m:val=")"/>
              <m:sepChr m:val=""/>
              <m:grow/>
            </m:dPr>
            <m:e>
              <m:r>
                <m:t>f</m:t>
              </m:r>
            </m:e>
          </m:d>
          <m:r>
            <m:rPr>
              <m:sty m:val="p"/>
            </m:rPr>
            <m:t>=</m:t>
          </m:r>
          <m:r>
            <m:rPr>
              <m:sty m:val="p"/>
            </m:rPr>
            <m:t>min</m:t>
          </m:r>
          <m:r>
            <m:t>​</m:t>
          </m:r>
          <m:d>
            <m:dPr>
              <m:begChr m:val="("/>
              <m:endChr m:val=")"/>
              <m:sepChr m:val=""/>
              <m:grow/>
            </m:dPr>
            <m:e>
              <m:sSub>
                <m:e>
                  <m:r>
                    <m:t>ρ</m:t>
                  </m:r>
                </m:e>
                <m:sub>
                  <m:r>
                    <m:t>f</m:t>
                  </m:r>
                </m:sub>
              </m:sSub>
              <m:r>
                <m:t> </m:t>
              </m:r>
              <m:sSub>
                <m:e>
                  <m:r>
                    <m:t>r</m:t>
                  </m:r>
                </m:e>
                <m:sub>
                  <m:r>
                    <m:t>t</m:t>
                  </m:r>
                  <m:d>
                    <m:dPr>
                      <m:begChr m:val="("/>
                      <m:endChr m:val=")"/>
                      <m:sepChr m:val=""/>
                      <m:grow/>
                    </m:dPr>
                    <m:e>
                      <m:sSub>
                        <m:e>
                          <m:r>
                            <m:t>y</m:t>
                          </m:r>
                        </m:e>
                        <m:sub>
                          <m:r>
                            <m:t>n</m:t>
                          </m:r>
                        </m:sub>
                      </m:sSub>
                    </m:e>
                  </m:d>
                </m:sub>
              </m:sSub>
              <m:r>
                <m:rPr>
                  <m:sty m:val="p"/>
                </m:rPr>
                <m:t>,</m:t>
              </m:r>
              <m:r>
                <m:t> </m:t>
              </m:r>
              <m:r>
                <m:t>0.9</m:t>
              </m:r>
            </m:e>
          </m:d>
          <m:r>
            <m:rPr>
              <m:sty m:val="p"/>
            </m:rPr>
            <m:t>,</m:t>
          </m:r>
        </m:oMath>
      </m:oMathPara>
      <w:r>
        <w:tab/>
      </w:r>
      <w:r>
        <w:t>(8)</w:t>
      </w:r>
    </w:p>
    <w:p>
      <w:pPr>
        <w:pStyle w:val="FirstParagraph"/>
      </w:pPr>
      <w:r>
        <w:t xml:space="preserve">where</w:t>
      </w:r>
      <w:r>
        <w:t xml:space="preserve"> </w:t>
      </w:r>
      <m:oMath>
        <m:r>
          <m:t>t</m:t>
        </m:r>
        <m:d>
          <m:dPr>
            <m:begChr m:val="("/>
            <m:endChr m:val=")"/>
            <m:sepChr m:val=""/>
            <m:grow/>
          </m:dPr>
          <m:e>
            <m:sSub>
              <m:e>
                <m:r>
                  <m:t>y</m:t>
                </m:r>
              </m:e>
              <m:sub>
                <m:r>
                  <m:t>n</m:t>
                </m:r>
              </m:sub>
            </m:sSub>
          </m:e>
        </m:d>
      </m:oMath>
      <w:r>
        <w:t xml:space="preserve"> </w:t>
      </w:r>
      <w:r>
        <w:t xml:space="preserve">denotes the minority, intermediate, or majority group of subtype</w:t>
      </w:r>
      <w:r>
        <w:t xml:space="preserve"> </w:t>
      </w:r>
      <m:oMath>
        <m:sSub>
          <m:e>
            <m:r>
              <m:t>y</m:t>
            </m:r>
          </m:e>
          <m:sub>
            <m:r>
              <m:t>n</m:t>
            </m:r>
          </m:sub>
        </m:sSub>
      </m:oMath>
      <w:r>
        <w:t xml:space="preserve">, and</w:t>
      </w:r>
      <w:r>
        <w:t xml:space="preserve"> </w:t>
      </w:r>
      <m:oMath>
        <m:sSub>
          <m:e>
            <m:r>
              <m:t>r</m:t>
            </m:r>
          </m:e>
          <m:sub>
            <m:r>
              <m:t>t</m:t>
            </m:r>
            <m:d>
              <m:dPr>
                <m:begChr m:val="("/>
                <m:endChr m:val=")"/>
                <m:sepChr m:val=""/>
                <m:grow/>
              </m:dPr>
              <m:e>
                <m:sSub>
                  <m:e>
                    <m:r>
                      <m:t>y</m:t>
                    </m:r>
                  </m:e>
                  <m:sub>
                    <m:r>
                      <m:t>n</m:t>
                    </m:r>
                  </m:sub>
                </m:sSub>
              </m:e>
            </m:d>
          </m:sub>
        </m:sSub>
        <m:r>
          <m:rPr>
            <m:sty m:val="p"/>
          </m:rPr>
          <m:t>∈</m:t>
        </m:r>
        <m:d>
          <m:dPr>
            <m:begChr m:val="["/>
            <m:endChr m:val="]"/>
            <m:sepChr m:val=""/>
            <m:grow/>
          </m:dPr>
          <m:e>
            <m:r>
              <m:t>0</m:t>
            </m:r>
            <m:r>
              <m:rPr>
                <m:sty m:val="p"/>
              </m:rPr>
              <m:t>,</m:t>
            </m:r>
            <m:r>
              <m:t>1</m:t>
            </m:r>
          </m:e>
        </m:d>
      </m:oMath>
      <w:r>
        <w:t xml:space="preserve"> </w:t>
      </w:r>
      <w:r>
        <w:t xml:space="preserve">is the corresponding group-specific drop rate. A Bernoulli mask is sampled according to</w:t>
      </w:r>
      <w:r>
        <w:t xml:space="preserve"> </w:t>
      </w:r>
      <m:oMath>
        <m:sSubSup>
          <m:e>
            <m:r>
              <m:t>p</m:t>
            </m:r>
          </m:e>
          <m:sub>
            <m:r>
              <m:rPr>
                <m:sty m:val="p"/>
              </m:rPr>
              <m:t>d</m:t>
            </m:r>
            <m:r>
              <m:rPr>
                <m:sty m:val="p"/>
              </m:rPr>
              <m:t>r</m:t>
            </m:r>
            <m:r>
              <m:rPr>
                <m:sty m:val="p"/>
              </m:rPr>
              <m:t>o</m:t>
            </m:r>
            <m:r>
              <m:rPr>
                <m:sty m:val="p"/>
              </m:rPr>
              <m:t>p</m:t>
            </m:r>
          </m:sub>
          <m:sup>
            <m:d>
              <m:dPr>
                <m:begChr m:val="("/>
                <m:endChr m:val=")"/>
                <m:sepChr m:val=""/>
                <m:grow/>
              </m:dPr>
              <m:e>
                <m:r>
                  <m:t>n</m:t>
                </m:r>
              </m:e>
            </m:d>
          </m:sup>
        </m:sSubSup>
        <m:d>
          <m:dPr>
            <m:begChr m:val="("/>
            <m:endChr m:val=")"/>
            <m:sepChr m:val=""/>
            <m:grow/>
          </m:dPr>
          <m:e>
            <m:r>
              <m:t>f</m:t>
            </m:r>
          </m:e>
        </m:d>
      </m:oMath>
      <w:r>
        <w:t xml:space="preserve">, and the masked node features form the enhanced feature matrix</w:t>
      </w:r>
      <w:r>
        <w:t xml:space="preserve"> </w:t>
      </w:r>
      <m:oMath>
        <m:sSub>
          <m:e>
            <m:acc>
              <m:accPr>
                <m:chr m:val="̂"/>
              </m:accPr>
              <m:e>
                <m:r>
                  <m:t>X</m:t>
                </m:r>
              </m:e>
            </m:acc>
          </m:e>
          <m:sub>
            <m:r>
              <m:t>v</m:t>
            </m:r>
          </m:sub>
        </m:sSub>
      </m:oMath>
      <w:r>
        <w:t xml:space="preserve">. The upper bound of 0.9 prevents all feature information from being removed.</w:t>
      </w:r>
    </w:p>
    <w:bookmarkEnd w:id="23"/>
    <w:bookmarkStart w:id="24" w:name="class-aware-topology-augmentation"/>
    <w:p>
      <w:pPr>
        <w:pStyle w:val="5"/>
      </w:pPr>
      <w:r>
        <w:t xml:space="preserve">3.2.2 Class-Aware Topology Augmentation</w:t>
      </w:r>
    </w:p>
    <w:p>
      <w:pPr>
        <w:pStyle w:val="FirstParagraph"/>
      </w:pPr>
      <w:r>
        <w:t xml:space="preserve">Class-aware topology augmentation adjusts graph connectivity and propagation strength according to the group assignments provided by TGS. New edges are introduced for minority-group nodes to expand their neighborhoods, weak edges are removed from intermediate- and majority-group nodes to suppress redundant propagation, and group-specific weights are assigned to the resulting edges.</w:t>
      </w:r>
    </w:p>
    <w:p>
      <w:pPr>
        <w:pStyle w:val="19"/>
      </w:pPr>
      <w:r>
        <w:t xml:space="preserve">For each minority-group training node</w:t>
      </w:r>
      <w:r>
        <w:t xml:space="preserve"> </w:t>
      </w:r>
      <m:oMath>
        <m:r>
          <m:t>n</m:t>
        </m:r>
      </m:oMath>
      <w:r>
        <w:t xml:space="preserve">, candidate nodes are selected from the high-centrality set</w:t>
      </w:r>
      <w:r>
        <w:t xml:space="preserve"> </w:t>
      </w:r>
      <m:oMath>
        <m:r>
          <m:rPr>
            <m:sty m:val="p"/>
            <m:scr m:val="script"/>
          </m:rPr>
          <m:t>H</m:t>
        </m:r>
        <m:r>
          <m:rPr>
            <m:sty m:val="p"/>
          </m:rPr>
          <m:t>=</m:t>
        </m:r>
        <m:r>
          <m:rPr>
            <m:sty m:val="p"/>
          </m:rPr>
          <m:t>{</m:t>
        </m:r>
        <m:r>
          <m:t>j</m:t>
        </m:r>
        <m:r>
          <m:rPr>
            <m:sty m:val="p"/>
          </m:rPr>
          <m:t>:</m:t>
        </m:r>
        <m:r>
          <m:t>P</m:t>
        </m:r>
        <m:r>
          <m:t>R</m:t>
        </m:r>
        <m:d>
          <m:dPr>
            <m:begChr m:val="("/>
            <m:endChr m:val=")"/>
            <m:sepChr m:val=""/>
            <m:grow/>
          </m:dPr>
          <m:e>
            <m:r>
              <m:t>j</m:t>
            </m:r>
          </m:e>
        </m:d>
        <m:r>
          <m:rPr>
            <m:sty m:val="p"/>
          </m:rPr>
          <m:t>≥</m:t>
        </m:r>
        <m:r>
          <m:t>P</m:t>
        </m:r>
        <m:sSub>
          <m:e>
            <m:r>
              <m:t>R</m:t>
            </m:r>
          </m:e>
          <m:sub>
            <m:r>
              <m:t>75</m:t>
            </m:r>
          </m:sub>
        </m:sSub>
        <m:r>
          <m:rPr>
            <m:sty m:val="p"/>
          </m:rPr>
          <m:t>}</m:t>
        </m:r>
      </m:oMath>
      <w:r>
        <w:t xml:space="preserve">, excluding existing neighbors and the node itself. Each candidate is evaluated according to feature similarity and normalized structural centrality:</w:t>
      </w:r>
    </w:p>
    <w:p>
      <w:pPr>
        <w:pStyle w:val="19"/>
        <w:tabs>
          <w:tab w:val="right" w:pos="9360"/>
        </w:tabs>
      </w:pPr>
      <m:oMathPara>
        <m:oMathParaPr>
          <m:jc m:val="center"/>
        </m:oMathParaPr>
        <m:oMath>
          <m:r>
            <m:rPr>
              <m:sty m:val="p"/>
            </m:rPr>
            <m:t>score</m:t>
          </m:r>
          <m:d>
            <m:dPr>
              <m:begChr m:val="("/>
              <m:endChr m:val=")"/>
              <m:sepChr m:val=""/>
              <m:grow/>
            </m:dPr>
            <m:e>
              <m:r>
                <m:t>n</m:t>
              </m:r>
              <m:r>
                <m:rPr>
                  <m:sty m:val="p"/>
                </m:rPr>
                <m:t>,</m:t>
              </m:r>
              <m:r>
                <m:t>j</m:t>
              </m:r>
            </m:e>
          </m:d>
          <m:r>
            <m:rPr>
              <m:sty m:val="p"/>
            </m:rPr>
            <m:t>=</m:t>
          </m:r>
          <m:r>
            <m:t>λ</m:t>
          </m:r>
          <m:r>
            <m:t> </m:t>
          </m:r>
          <m:r>
            <m:rPr>
              <m:sty m:val="p"/>
            </m:rPr>
            <m:t>sim</m:t>
          </m:r>
          <m:d>
            <m:dPr>
              <m:begChr m:val="("/>
              <m:endChr m:val=")"/>
              <m:sepChr m:val=""/>
              <m:grow/>
            </m:dPr>
            <m:e>
              <m:sSub>
                <m:e>
                  <m:r>
                    <m:rPr>
                      <m:sty m:val="b"/>
                    </m:rPr>
                    <m:t>x</m:t>
                  </m:r>
                </m:e>
                <m:sub>
                  <m:r>
                    <m:t>n</m:t>
                  </m:r>
                </m:sub>
              </m:sSub>
              <m:r>
                <m:rPr>
                  <m:sty m:val="p"/>
                </m:rPr>
                <m:t>,</m:t>
              </m:r>
              <m:sSub>
                <m:e>
                  <m:r>
                    <m:rPr>
                      <m:sty m:val="b"/>
                    </m:rPr>
                    <m:t>x</m:t>
                  </m:r>
                </m:e>
                <m:sub>
                  <m:r>
                    <m:t>j</m:t>
                  </m:r>
                </m:sub>
              </m:sSub>
            </m:e>
          </m:d>
          <m:r>
            <m:rPr>
              <m:sty m:val="p"/>
            </m:rPr>
            <m:t>+</m:t>
          </m:r>
          <m:d>
            <m:dPr>
              <m:begChr m:val="("/>
              <m:endChr m:val=")"/>
              <m:sepChr m:val=""/>
              <m:grow/>
            </m:dPr>
            <m:e>
              <m:r>
                <m:t>1</m:t>
              </m:r>
              <m:r>
                <m:rPr>
                  <m:sty m:val="p"/>
                </m:rPr>
                <m:t>−</m:t>
              </m:r>
              <m:r>
                <m:t>λ</m:t>
              </m:r>
            </m:e>
          </m:d>
          <m:r>
            <m:t> </m:t>
          </m:r>
          <m:acc>
            <m:accPr>
              <m:chr m:val="̃"/>
            </m:accPr>
            <m:e>
              <m:r>
                <m:t>P</m:t>
              </m:r>
              <m:r>
                <m:t>R</m:t>
              </m:r>
            </m:e>
          </m:acc>
          <m:d>
            <m:dPr>
              <m:begChr m:val="("/>
              <m:endChr m:val=")"/>
              <m:sepChr m:val=""/>
              <m:grow/>
            </m:dPr>
            <m:e>
              <m:r>
                <m:t>j</m:t>
              </m:r>
            </m:e>
          </m:d>
          <m:r>
            <m:rPr>
              <m:sty m:val="p"/>
            </m:rPr>
            <m:t>,</m:t>
          </m:r>
          <m:r>
            <m:t>  </m:t>
          </m:r>
          <m:acc>
            <m:accPr>
              <m:chr m:val="̃"/>
            </m:accPr>
            <m:e>
              <m:r>
                <m:t>P</m:t>
              </m:r>
              <m:r>
                <m:t>R</m:t>
              </m:r>
            </m:e>
          </m:acc>
          <m:d>
            <m:dPr>
              <m:begChr m:val="("/>
              <m:endChr m:val=")"/>
              <m:sepChr m:val=""/>
              <m:grow/>
            </m:dPr>
            <m:e>
              <m:r>
                <m:t>j</m:t>
              </m:r>
            </m:e>
          </m:d>
          <m:r>
            <m:rPr>
              <m:sty m:val="p"/>
            </m:rPr>
            <m:t>=</m:t>
          </m:r>
          <m:f>
            <m:fPr>
              <m:type m:val="bar"/>
            </m:fPr>
            <m:num>
              <m:r>
                <m:t>P</m:t>
              </m:r>
              <m:r>
                <m:t>R</m:t>
              </m:r>
              <m:d>
                <m:dPr>
                  <m:begChr m:val="("/>
                  <m:endChr m:val=")"/>
                  <m:sepChr m:val=""/>
                  <m:grow/>
                </m:dPr>
                <m:e>
                  <m:r>
                    <m:t>j</m:t>
                  </m:r>
                </m:e>
              </m:d>
            </m:num>
            <m:den>
              <m:r>
                <m:t>P</m:t>
              </m:r>
              <m:sSub>
                <m:e>
                  <m:r>
                    <m:t>R</m:t>
                  </m:r>
                </m:e>
                <m:sub>
                  <m:r>
                    <m:rPr>
                      <m:sty m:val="p"/>
                    </m:rPr>
                    <m:t>max</m:t>
                  </m:r>
                </m:sub>
              </m:sSub>
            </m:den>
          </m:f>
          <m:r>
            <m:rPr>
              <m:sty m:val="p"/>
            </m:rPr>
            <m:t>,</m:t>
          </m:r>
        </m:oMath>
      </m:oMathPara>
      <w:r>
        <w:tab/>
      </w:r>
      <w:r>
        <w:t>(9)</w:t>
      </w:r>
    </w:p>
    <w:p>
      <w:pPr>
        <w:pStyle w:val="FirstParagraph"/>
      </w:pPr>
      <w:r>
        <w:t xml:space="preserve">where</w:t>
      </w:r>
      <w:r>
        <w:t xml:space="preserve"> </w:t>
      </w:r>
      <m:oMath>
        <m:r>
          <m:t>λ</m:t>
        </m:r>
        <m:r>
          <m:rPr>
            <m:sty m:val="p"/>
          </m:rPr>
          <m:t>∈</m:t>
        </m:r>
        <m:d>
          <m:dPr>
            <m:begChr m:val="["/>
            <m:endChr m:val="]"/>
            <m:sepChr m:val=""/>
            <m:grow/>
          </m:dPr>
          <m:e>
            <m:r>
              <m:t>0</m:t>
            </m:r>
            <m:r>
              <m:rPr>
                <m:sty m:val="p"/>
              </m:rPr>
              <m:t>,</m:t>
            </m:r>
            <m:r>
              <m:t>1</m:t>
            </m:r>
          </m:e>
        </m:d>
      </m:oMath>
      <w:r>
        <w:t xml:space="preserve"> </w:t>
      </w:r>
      <w:r>
        <w:t xml:space="preserve">balances the two terms and</w:t>
      </w:r>
      <w:r>
        <w:t xml:space="preserve"> </w:t>
      </w:r>
      <m:oMath>
        <m:r>
          <m:t>P</m:t>
        </m:r>
        <m:sSub>
          <m:e>
            <m:r>
              <m:t>R</m:t>
            </m:r>
          </m:e>
          <m:sub>
            <m:r>
              <m:rPr>
                <m:sty m:val="p"/>
              </m:rPr>
              <m:t>max</m:t>
            </m:r>
          </m:sub>
        </m:sSub>
        <m:r>
          <m:rPr>
            <m:sty m:val="p"/>
          </m:rPr>
          <m:t>=</m:t>
        </m:r>
        <m:sSub>
          <m:e>
            <m:r>
              <m:rPr>
                <m:sty m:val="p"/>
              </m:rPr>
              <m:t>max</m:t>
            </m:r>
          </m:e>
          <m:sub>
            <m:r>
              <m:t>i</m:t>
            </m:r>
          </m:sub>
        </m:sSub>
        <m:r>
          <m:t>P</m:t>
        </m:r>
        <m:r>
          <m:t>R</m:t>
        </m:r>
        <m:d>
          <m:dPr>
            <m:begChr m:val="("/>
            <m:endChr m:val=")"/>
            <m:sepChr m:val=""/>
            <m:grow/>
          </m:dPr>
          <m:e>
            <m:r>
              <m:t>i</m:t>
            </m:r>
          </m:e>
        </m:d>
      </m:oMath>
      <w:r>
        <w:t xml:space="preserve">. The enhanced adjacency matrix is updated as</w:t>
      </w:r>
    </w:p>
    <w:p>
      <w:pPr>
        <w:pStyle w:val="19"/>
        <w:tabs>
          <w:tab w:val="right" w:pos="9360"/>
        </w:tabs>
      </w:pPr>
      <m:oMathPara>
        <m:oMathParaPr>
          <m:jc m:val="center"/>
        </m:oMathParaPr>
        <m:oMath>
          <m:sSub>
            <m:e>
              <m:acc>
                <m:accPr>
                  <m:chr m:val="̂"/>
                </m:accPr>
                <m:e>
                  <m:r>
                    <m:t>A</m:t>
                  </m:r>
                </m:e>
              </m:acc>
            </m:e>
            <m:sub>
              <m:r>
                <m:t>n</m:t>
              </m:r>
              <m:r>
                <m:t>j</m:t>
              </m:r>
            </m:sub>
          </m:sSub>
          <m:r>
            <m:rPr>
              <m:sty m:val="p"/>
            </m:rPr>
            <m:t>=</m:t>
          </m:r>
          <m:d>
            <m:dPr>
              <m:begChr m:val="{"/>
              <m:endChr m:val=""/>
              <m:sepChr m:val=""/>
              <m:grow/>
            </m:dPr>
            <m:e>
              <m:m>
                <m:mPr>
                  <m:baseJc m:val="center"/>
                  <m:plcHide m:val="1"/>
                  <m:mcs>
                    <m:mc>
                      <m:mcPr>
                        <m:mcJc m:val="left"/>
                        <m:count m:val="1"/>
                      </m:mcPr>
                    </m:mc>
                    <m:mc>
                      <m:mcPr>
                        <m:mcJc m:val="left"/>
                        <m:count m:val="1"/>
                      </m:mcPr>
                    </m:mc>
                  </m:mcs>
                </m:mPr>
                <m:mr>
                  <m:e>
                    <m:r>
                      <m:t>1</m:t>
                    </m:r>
                    <m:r>
                      <m:rPr>
                        <m:sty m:val="p"/>
                      </m:rPr>
                      <m:t>,</m:t>
                    </m:r>
                  </m:e>
                  <m:e>
                    <m:r>
                      <m:t>t</m:t>
                    </m:r>
                    <m:d>
                      <m:dPr>
                        <m:begChr m:val="("/>
                        <m:endChr m:val=")"/>
                        <m:sepChr m:val=""/>
                        <m:grow/>
                      </m:dPr>
                      <m:e>
                        <m:sSub>
                          <m:e>
                            <m:r>
                              <m:t>y</m:t>
                            </m:r>
                          </m:e>
                          <m:sub>
                            <m:r>
                              <m:t>n</m:t>
                            </m:r>
                          </m:sub>
                        </m:sSub>
                      </m:e>
                    </m:d>
                    <m:r>
                      <m:rPr>
                        <m:sty m:val="p"/>
                      </m:rPr>
                      <m:t>=</m:t>
                    </m:r>
                    <m:r>
                      <m:rPr>
                        <m:sty m:val="p"/>
                      </m:rPr>
                      <m:t>m</m:t>
                    </m:r>
                    <m:r>
                      <m:rPr>
                        <m:sty m:val="p"/>
                      </m:rPr>
                      <m:t>i</m:t>
                    </m:r>
                    <m:r>
                      <m:rPr>
                        <m:sty m:val="p"/>
                      </m:rPr>
                      <m:t>n</m:t>
                    </m:r>
                    <m:r>
                      <m:rPr>
                        <m:sty m:val="p"/>
                      </m:rPr>
                      <m:t>o</m:t>
                    </m:r>
                    <m:r>
                      <m:rPr>
                        <m:sty m:val="p"/>
                      </m:rPr>
                      <m:t>r</m:t>
                    </m:r>
                    <m:r>
                      <m:rPr>
                        <m:sty m:val="p"/>
                      </m:rPr>
                      <m:t>i</m:t>
                    </m:r>
                    <m:r>
                      <m:rPr>
                        <m:sty m:val="p"/>
                      </m:rPr>
                      <m:t>t</m:t>
                    </m:r>
                    <m:r>
                      <m:rPr>
                        <m:sty m:val="p"/>
                      </m:rPr>
                      <m:t>y</m:t>
                    </m:r>
                    <m:r>
                      <m:rPr>
                        <m:sty m:val="p"/>
                      </m:rPr>
                      <m:t>,</m:t>
                    </m:r>
                    <m:r>
                      <m:t> </m:t>
                    </m:r>
                    <m:r>
                      <m:t>j</m:t>
                    </m:r>
                    <m:r>
                      <m:rPr>
                        <m:sty m:val="p"/>
                      </m:rPr>
                      <m:t>∈</m:t>
                    </m:r>
                    <m:r>
                      <m:rPr>
                        <m:sty m:val="p"/>
                        <m:scr m:val="script"/>
                      </m:rPr>
                      <m:t>H</m:t>
                    </m:r>
                    <m:r>
                      <m:rPr>
                        <m:sty m:val="p"/>
                      </m:rPr>
                      <m:t>,</m:t>
                    </m:r>
                    <m:r>
                      <m:t> </m:t>
                    </m:r>
                    <m:r>
                      <m:rPr>
                        <m:sty m:val="p"/>
                      </m:rPr>
                      <m:t>score</m:t>
                    </m:r>
                    <m:d>
                      <m:dPr>
                        <m:begChr m:val="("/>
                        <m:endChr m:val=")"/>
                        <m:sepChr m:val=""/>
                        <m:grow/>
                      </m:dPr>
                      <m:e>
                        <m:r>
                          <m:t>n</m:t>
                        </m:r>
                        <m:r>
                          <m:rPr>
                            <m:sty m:val="p"/>
                          </m:rPr>
                          <m:t>,</m:t>
                        </m:r>
                        <m:r>
                          <m:t>j</m:t>
                        </m:r>
                      </m:e>
                    </m:d>
                    <m:r>
                      <m:rPr>
                        <m:sty m:val="p"/>
                      </m:rPr>
                      <m:t>&gt;</m:t>
                    </m:r>
                    <m:r>
                      <m:t>θ</m:t>
                    </m:r>
                    <m:r>
                      <m:rPr>
                        <m:sty m:val="p"/>
                      </m:rPr>
                      <m:t>,</m:t>
                    </m:r>
                    <m:r>
                      <m:t> </m:t>
                    </m:r>
                    <m:r>
                      <m:t>u</m:t>
                    </m:r>
                    <m:r>
                      <m:rPr>
                        <m:sty m:val="p"/>
                      </m:rPr>
                      <m:t>&lt;</m:t>
                    </m:r>
                    <m:sSub>
                      <m:e>
                        <m:r>
                          <m:t>p</m:t>
                        </m:r>
                      </m:e>
                      <m:sub>
                        <m:r>
                          <m:rPr>
                            <m:sty m:val="p"/>
                          </m:rPr>
                          <m:t>a</m:t>
                        </m:r>
                        <m:r>
                          <m:rPr>
                            <m:sty m:val="p"/>
                          </m:rPr>
                          <m:t>d</m:t>
                        </m:r>
                        <m:r>
                          <m:rPr>
                            <m:sty m:val="p"/>
                          </m:rPr>
                          <m:t>d</m:t>
                        </m:r>
                      </m:sub>
                    </m:sSub>
                    <m:r>
                      <m:rPr>
                        <m:sty m:val="p"/>
                      </m:rPr>
                      <m:t>,</m:t>
                    </m:r>
                  </m:e>
                </m:mr>
                <m:mr>
                  <m:e>
                    <m:r>
                      <m:t>0</m:t>
                    </m:r>
                    <m:r>
                      <m:rPr>
                        <m:sty m:val="p"/>
                      </m:rPr>
                      <m:t>,</m:t>
                    </m:r>
                  </m:e>
                  <m:e>
                    <m:r>
                      <m:t>t</m:t>
                    </m:r>
                    <m:d>
                      <m:dPr>
                        <m:begChr m:val="("/>
                        <m:endChr m:val=")"/>
                        <m:sepChr m:val=""/>
                        <m:grow/>
                      </m:dPr>
                      <m:e>
                        <m:sSub>
                          <m:e>
                            <m:r>
                              <m:t>y</m:t>
                            </m:r>
                          </m:e>
                          <m:sub>
                            <m:r>
                              <m:t>n</m:t>
                            </m:r>
                          </m:sub>
                        </m:sSub>
                      </m:e>
                    </m:d>
                    <m:r>
                      <m:rPr>
                        <m:sty m:val="p"/>
                      </m:rPr>
                      <m:t>∈</m:t>
                    </m:r>
                    <m:r>
                      <m:rPr>
                        <m:sty m:val="p"/>
                      </m:rPr>
                      <m:t>{</m:t>
                    </m:r>
                    <m:r>
                      <m:rPr>
                        <m:sty m:val="p"/>
                      </m:rPr>
                      <m:t>i</m:t>
                    </m:r>
                    <m:r>
                      <m:rPr>
                        <m:sty m:val="p"/>
                      </m:rPr>
                      <m:t>n</m:t>
                    </m:r>
                    <m:r>
                      <m:rPr>
                        <m:sty m:val="p"/>
                      </m:rPr>
                      <m:t>t</m:t>
                    </m:r>
                    <m:r>
                      <m:rPr>
                        <m:sty m:val="p"/>
                      </m:rPr>
                      <m:t>e</m:t>
                    </m:r>
                    <m:r>
                      <m:rPr>
                        <m:sty m:val="p"/>
                      </m:rPr>
                      <m:t>r</m:t>
                    </m:r>
                    <m:r>
                      <m:rPr>
                        <m:sty m:val="p"/>
                      </m:rPr>
                      <m:t>m</m:t>
                    </m:r>
                    <m:r>
                      <m:rPr>
                        <m:sty m:val="p"/>
                      </m:rPr>
                      <m:t>e</m:t>
                    </m:r>
                    <m:r>
                      <m:rPr>
                        <m:sty m:val="p"/>
                      </m:rPr>
                      <m:t>d</m:t>
                    </m:r>
                    <m:r>
                      <m:rPr>
                        <m:sty m:val="p"/>
                      </m:rPr>
                      <m:t>i</m:t>
                    </m:r>
                    <m:r>
                      <m:rPr>
                        <m:sty m:val="p"/>
                      </m:rPr>
                      <m:t>a</m:t>
                    </m:r>
                    <m:r>
                      <m:rPr>
                        <m:sty m:val="p"/>
                      </m:rPr>
                      <m:t>t</m:t>
                    </m:r>
                    <m:r>
                      <m:rPr>
                        <m:sty m:val="p"/>
                      </m:rPr>
                      <m:t>e</m:t>
                    </m:r>
                    <m:r>
                      <m:rPr>
                        <m:sty m:val="p"/>
                      </m:rPr>
                      <m:t>,</m:t>
                    </m:r>
                    <m:r>
                      <m:rPr>
                        <m:sty m:val="p"/>
                      </m:rPr>
                      <m:t>m</m:t>
                    </m:r>
                    <m:r>
                      <m:rPr>
                        <m:sty m:val="p"/>
                      </m:rPr>
                      <m:t>a</m:t>
                    </m:r>
                    <m:r>
                      <m:rPr>
                        <m:sty m:val="p"/>
                      </m:rPr>
                      <m:t>j</m:t>
                    </m:r>
                    <m:r>
                      <m:rPr>
                        <m:sty m:val="p"/>
                      </m:rPr>
                      <m:t>o</m:t>
                    </m:r>
                    <m:r>
                      <m:rPr>
                        <m:sty m:val="p"/>
                      </m:rPr>
                      <m:t>r</m:t>
                    </m:r>
                    <m:r>
                      <m:rPr>
                        <m:sty m:val="p"/>
                      </m:rPr>
                      <m:t>i</m:t>
                    </m:r>
                    <m:r>
                      <m:rPr>
                        <m:sty m:val="p"/>
                      </m:rPr>
                      <m:t>t</m:t>
                    </m:r>
                    <m:r>
                      <m:rPr>
                        <m:sty m:val="p"/>
                      </m:rPr>
                      <m:t>y</m:t>
                    </m:r>
                    <m:r>
                      <m:rPr>
                        <m:sty m:val="p"/>
                      </m:rPr>
                      <m:t>}</m:t>
                    </m:r>
                    <m:r>
                      <m:rPr>
                        <m:sty m:val="p"/>
                      </m:rPr>
                      <m:t>,</m:t>
                    </m:r>
                    <m:r>
                      <m:t> </m:t>
                    </m:r>
                    <m:sSub>
                      <m:e>
                        <m:r>
                          <m:t>A</m:t>
                        </m:r>
                      </m:e>
                      <m:sub>
                        <m:r>
                          <m:t>n</m:t>
                        </m:r>
                        <m:r>
                          <m:t>j</m:t>
                        </m:r>
                      </m:sub>
                    </m:sSub>
                    <m:r>
                      <m:rPr>
                        <m:sty m:val="p"/>
                      </m:rPr>
                      <m:t>=</m:t>
                    </m:r>
                    <m:r>
                      <m:t>1</m:t>
                    </m:r>
                    <m:r>
                      <m:rPr>
                        <m:sty m:val="p"/>
                      </m:rPr>
                      <m:t>,</m:t>
                    </m:r>
                    <m:r>
                      <m:t> </m:t>
                    </m:r>
                    <m:r>
                      <m:rPr>
                        <m:sty m:val="p"/>
                      </m:rPr>
                      <m:t>sim</m:t>
                    </m:r>
                    <m:d>
                      <m:dPr>
                        <m:begChr m:val="("/>
                        <m:endChr m:val=")"/>
                        <m:sepChr m:val=""/>
                        <m:grow/>
                      </m:dPr>
                      <m:e>
                        <m:sSub>
                          <m:e>
                            <m:r>
                              <m:rPr>
                                <m:sty m:val="b"/>
                              </m:rPr>
                              <m:t>x</m:t>
                            </m:r>
                          </m:e>
                          <m:sub>
                            <m:r>
                              <m:t>n</m:t>
                            </m:r>
                          </m:sub>
                        </m:sSub>
                        <m:r>
                          <m:rPr>
                            <m:sty m:val="p"/>
                          </m:rPr>
                          <m:t>,</m:t>
                        </m:r>
                        <m:sSub>
                          <m:e>
                            <m:r>
                              <m:rPr>
                                <m:sty m:val="b"/>
                              </m:rPr>
                              <m:t>x</m:t>
                            </m:r>
                          </m:e>
                          <m:sub>
                            <m:r>
                              <m:t>j</m:t>
                            </m:r>
                          </m:sub>
                        </m:sSub>
                      </m:e>
                    </m:d>
                    <m:r>
                      <m:rPr>
                        <m:sty m:val="p"/>
                      </m:rPr>
                      <m:t>&lt;</m:t>
                    </m:r>
                    <m:r>
                      <m:t>δ</m:t>
                    </m:r>
                    <m:r>
                      <m:rPr>
                        <m:sty m:val="p"/>
                      </m:rPr>
                      <m:t>,</m:t>
                    </m:r>
                    <m:r>
                      <m:t> </m:t>
                    </m:r>
                    <m:r>
                      <m:t>u</m:t>
                    </m:r>
                    <m:r>
                      <m:rPr>
                        <m:sty m:val="p"/>
                      </m:rPr>
                      <m:t>&lt;</m:t>
                    </m:r>
                    <m:sSub>
                      <m:e>
                        <m:r>
                          <m:t>p</m:t>
                        </m:r>
                      </m:e>
                      <m:sub>
                        <m:r>
                          <m:rPr>
                            <m:sty m:val="p"/>
                          </m:rPr>
                          <m:t>r</m:t>
                        </m:r>
                        <m:r>
                          <m:rPr>
                            <m:sty m:val="p"/>
                          </m:rPr>
                          <m:t>e</m:t>
                        </m:r>
                        <m:r>
                          <m:rPr>
                            <m:sty m:val="p"/>
                          </m:rPr>
                          <m:t>m</m:t>
                        </m:r>
                      </m:sub>
                    </m:sSub>
                    <m:r>
                      <m:rPr>
                        <m:sty m:val="p"/>
                      </m:rPr>
                      <m:t>,</m:t>
                    </m:r>
                  </m:e>
                </m:mr>
                <m:mr>
                  <m:e>
                    <m:sSub>
                      <m:e>
                        <m:r>
                          <m:t>A</m:t>
                        </m:r>
                      </m:e>
                      <m:sub>
                        <m:r>
                          <m:t>n</m:t>
                        </m:r>
                        <m:r>
                          <m:t>j</m:t>
                        </m:r>
                      </m:sub>
                    </m:sSub>
                    <m:r>
                      <m:rPr>
                        <m:sty m:val="p"/>
                      </m:rPr>
                      <m:t>,</m:t>
                    </m:r>
                  </m:e>
                  <m:e>
                    <m:r>
                      <m:rPr>
                        <m:nor/>
                        <m:sty m:val="p"/>
                      </m:rPr>
                      <m:t>otherwise</m:t>
                    </m:r>
                    <m:r>
                      <m:rPr>
                        <m:sty m:val="p"/>
                      </m:rPr>
                      <m:t>,</m:t>
                    </m:r>
                  </m:e>
                </m:mr>
              </m:m>
            </m:e>
          </m:d>
        </m:oMath>
      </m:oMathPara>
      <w:r>
        <w:tab/>
      </w:r>
      <w:r>
        <w:t>(10)</w:t>
      </w:r>
    </w:p>
    <w:p>
      <w:pPr>
        <w:pStyle w:val="FirstParagraph"/>
      </w:pPr>
      <w:r>
        <w:t xml:space="preserve">where</w:t>
      </w:r>
      <w:r>
        <w:t xml:space="preserve"> </w:t>
      </w:r>
      <m:oMath>
        <m:r>
          <m:t>u</m:t>
        </m:r>
        <m:r>
          <m:rPr>
            <m:sty m:val="p"/>
          </m:rPr>
          <m:t>∼</m:t>
        </m:r>
        <m:r>
          <m:rPr>
            <m:sty m:val="p"/>
            <m:scr m:val="script"/>
          </m:rPr>
          <m:t>U</m:t>
        </m:r>
        <m:d>
          <m:dPr>
            <m:begChr m:val="("/>
            <m:endChr m:val=")"/>
            <m:sepChr m:val=""/>
            <m:grow/>
          </m:dPr>
          <m:e>
            <m:r>
              <m:t>0</m:t>
            </m:r>
            <m:r>
              <m:rPr>
                <m:sty m:val="p"/>
              </m:rPr>
              <m:t>,</m:t>
            </m:r>
            <m:r>
              <m:t>1</m:t>
            </m:r>
          </m:e>
        </m:d>
      </m:oMath>
      <w:r>
        <w:t xml:space="preserve">,</w:t>
      </w:r>
      <w:r>
        <w:t xml:space="preserve"> </w:t>
      </w:r>
      <m:oMath>
        <m:r>
          <m:t>θ</m:t>
        </m:r>
      </m:oMath>
      <w:r>
        <w:t xml:space="preserve"> </w:t>
      </w:r>
      <w:r>
        <w:t xml:space="preserve">is the edge-addition threshold,</w:t>
      </w:r>
      <w:r>
        <w:t xml:space="preserve"> </w:t>
      </w:r>
      <m:oMath>
        <m:r>
          <m:t>δ</m:t>
        </m:r>
      </m:oMath>
      <w:r>
        <w:t xml:space="preserve"> </w:t>
      </w:r>
      <w:r>
        <w:t xml:space="preserve">is the similarity threshold for edge removal, and</w:t>
      </w:r>
      <w:r>
        <w:t xml:space="preserve"> </w:t>
      </w:r>
      <m:oMath>
        <m:sSub>
          <m:e>
            <m:r>
              <m:t>p</m:t>
            </m:r>
          </m:e>
          <m:sub>
            <m:r>
              <m:rPr>
                <m:sty m:val="p"/>
              </m:rPr>
              <m:t>a</m:t>
            </m:r>
            <m:r>
              <m:rPr>
                <m:sty m:val="p"/>
              </m:rPr>
              <m:t>d</m:t>
            </m:r>
            <m:r>
              <m:rPr>
                <m:sty m:val="p"/>
              </m:rPr>
              <m:t>d</m:t>
            </m:r>
          </m:sub>
        </m:sSub>
      </m:oMath>
      <w:r>
        <w:t xml:space="preserve"> </w:t>
      </w:r>
      <w:r>
        <w:t xml:space="preserve">and</w:t>
      </w:r>
      <w:r>
        <w:t xml:space="preserve"> </w:t>
      </w:r>
      <m:oMath>
        <m:sSub>
          <m:e>
            <m:r>
              <m:t>p</m:t>
            </m:r>
          </m:e>
          <m:sub>
            <m:r>
              <m:rPr>
                <m:sty m:val="p"/>
              </m:rPr>
              <m:t>r</m:t>
            </m:r>
            <m:r>
              <m:rPr>
                <m:sty m:val="p"/>
              </m:rPr>
              <m:t>e</m:t>
            </m:r>
            <m:r>
              <m:rPr>
                <m:sty m:val="p"/>
              </m:rPr>
              <m:t>m</m:t>
            </m:r>
          </m:sub>
        </m:sSub>
      </m:oMath>
      <w:r>
        <w:t xml:space="preserve"> </w:t>
      </w:r>
      <w:r>
        <w:t xml:space="preserve">are the corresponding augmentation probabilities. Every addition or removal is applied symmetrically, such that</w:t>
      </w:r>
      <w:r>
        <w:t xml:space="preserve"> </w:t>
      </w:r>
      <m:oMath>
        <m:sSub>
          <m:e>
            <m:acc>
              <m:accPr>
                <m:chr m:val="̂"/>
              </m:accPr>
              <m:e>
                <m:r>
                  <m:t>A</m:t>
                </m:r>
              </m:e>
            </m:acc>
          </m:e>
          <m:sub>
            <m:r>
              <m:t>n</m:t>
            </m:r>
            <m:r>
              <m:t>j</m:t>
            </m:r>
          </m:sub>
        </m:sSub>
        <m:r>
          <m:rPr>
            <m:sty m:val="p"/>
          </m:rPr>
          <m:t>=</m:t>
        </m:r>
        <m:sSub>
          <m:e>
            <m:acc>
              <m:accPr>
                <m:chr m:val="̂"/>
              </m:accPr>
              <m:e>
                <m:r>
                  <m:t>A</m:t>
                </m:r>
              </m:e>
            </m:acc>
          </m:e>
          <m:sub>
            <m:r>
              <m:t>j</m:t>
            </m:r>
            <m:r>
              <m:t>n</m:t>
            </m:r>
          </m:sub>
        </m:sSub>
      </m:oMath>
      <w:r>
        <w:t xml:space="preserve">, preserving the undirected structure of the graph.</w:t>
      </w:r>
    </w:p>
    <w:p>
      <w:pPr>
        <w:pStyle w:val="19"/>
      </w:pPr>
      <w:r>
        <w:t xml:space="preserve">To regulate propagation strength, each edge</w:t>
      </w:r>
      <w:r>
        <w:t xml:space="preserve"> </w:t>
      </w:r>
      <m:oMath>
        <m:sSub>
          <m:e>
            <m:r>
              <m:t>e</m:t>
            </m:r>
          </m:e>
          <m:sub>
            <m:r>
              <m:t>n</m:t>
            </m:r>
            <m:r>
              <m:t>j</m:t>
            </m:r>
          </m:sub>
        </m:sSub>
      </m:oMath>
      <w:r>
        <w:t xml:space="preserve"> </w:t>
      </w:r>
      <w:r>
        <w:t xml:space="preserve">is assigned the higher-priority group of its endpoints, following minority</w:t>
      </w:r>
      <w:r>
        <w:t xml:space="preserve"> </w:t>
      </w:r>
      <m:oMath>
        <m:r>
          <m:rPr>
            <m:sty m:val="p"/>
          </m:rPr>
          <m:t>&gt;</m:t>
        </m:r>
      </m:oMath>
      <w:r>
        <w:t xml:space="preserve"> </w:t>
      </w:r>
      <w:r>
        <w:t xml:space="preserve">intermediate</w:t>
      </w:r>
      <w:r>
        <w:t xml:space="preserve"> </w:t>
      </w:r>
      <m:oMath>
        <m:r>
          <m:rPr>
            <m:sty m:val="p"/>
          </m:rPr>
          <m:t>&gt;</m:t>
        </m:r>
      </m:oMath>
      <w:r>
        <w:t xml:space="preserve"> </w:t>
      </w:r>
      <w:r>
        <w:t xml:space="preserve">majority. Its structural quality is defined as</w:t>
      </w:r>
    </w:p>
    <w:p>
      <w:pPr>
        <w:pStyle w:val="19"/>
        <w:tabs>
          <w:tab w:val="right" w:pos="9360"/>
        </w:tabs>
      </w:pPr>
      <m:oMathPara>
        <m:oMathParaPr>
          <m:jc m:val="center"/>
        </m:oMathParaPr>
        <m:oMath>
          <m:r>
            <m:t>q</m:t>
          </m:r>
          <m:d>
            <m:dPr>
              <m:begChr m:val="("/>
              <m:endChr m:val=")"/>
              <m:sepChr m:val=""/>
              <m:grow/>
            </m:dPr>
            <m:e>
              <m:r>
                <m:t>n</m:t>
              </m:r>
              <m:r>
                <m:rPr>
                  <m:sty m:val="p"/>
                </m:rPr>
                <m:t>,</m:t>
              </m:r>
              <m:r>
                <m:t>j</m:t>
              </m:r>
            </m:e>
          </m:d>
          <m:r>
            <m:rPr>
              <m:sty m:val="p"/>
            </m:rPr>
            <m:t>=</m:t>
          </m:r>
          <m:f>
            <m:fPr>
              <m:type m:val="bar"/>
            </m:fPr>
            <m:num>
              <m:r>
                <m:t>P</m:t>
              </m:r>
              <m:r>
                <m:t>R</m:t>
              </m:r>
              <m:d>
                <m:dPr>
                  <m:begChr m:val="("/>
                  <m:endChr m:val=")"/>
                  <m:sepChr m:val=""/>
                  <m:grow/>
                </m:dPr>
                <m:e>
                  <m:r>
                    <m:t>n</m:t>
                  </m:r>
                </m:e>
              </m:d>
              <m:r>
                <m:rPr>
                  <m:sty m:val="p"/>
                </m:rPr>
                <m:t>+</m:t>
              </m:r>
              <m:r>
                <m:t>P</m:t>
              </m:r>
              <m:r>
                <m:t>R</m:t>
              </m:r>
              <m:d>
                <m:dPr>
                  <m:begChr m:val="("/>
                  <m:endChr m:val=")"/>
                  <m:sepChr m:val=""/>
                  <m:grow/>
                </m:dPr>
                <m:e>
                  <m:r>
                    <m:t>j</m:t>
                  </m:r>
                </m:e>
              </m:d>
            </m:num>
            <m:den>
              <m:r>
                <m:t>2</m:t>
              </m:r>
              <m:r>
                <m:t>P</m:t>
              </m:r>
              <m:sSub>
                <m:e>
                  <m:r>
                    <m:t>R</m:t>
                  </m:r>
                </m:e>
                <m:sub>
                  <m:r>
                    <m:rPr>
                      <m:sty m:val="p"/>
                    </m:rPr>
                    <m:t>max</m:t>
                  </m:r>
                </m:sub>
              </m:sSub>
            </m:den>
          </m:f>
          <m:r>
            <m:rPr>
              <m:sty m:val="p"/>
            </m:rPr>
            <m:t>.</m:t>
          </m:r>
        </m:oMath>
      </m:oMathPara>
      <w:r>
        <w:tab/>
      </w:r>
      <w:r>
        <w:t>(11)</w:t>
      </w:r>
    </w:p>
    <w:p>
      <w:pPr>
        <w:pStyle w:val="FirstParagraph"/>
      </w:pPr>
      <w:r>
        <w:t xml:space="preserve">The final edge weight is</w:t>
      </w:r>
    </w:p>
    <w:p>
      <w:pPr>
        <w:pStyle w:val="19"/>
        <w:tabs>
          <w:tab w:val="right" w:pos="9360"/>
        </w:tabs>
      </w:pPr>
      <m:oMathPara>
        <m:oMathParaPr>
          <m:jc m:val="center"/>
        </m:oMathParaPr>
        <m:oMath>
          <m:r>
            <m:t>w</m:t>
          </m:r>
          <m:d>
            <m:dPr>
              <m:begChr m:val="("/>
              <m:endChr m:val=")"/>
              <m:sepChr m:val=""/>
              <m:grow/>
            </m:dPr>
            <m:e>
              <m:sSub>
                <m:e>
                  <m:r>
                    <m:t>e</m:t>
                  </m:r>
                </m:e>
                <m:sub>
                  <m:r>
                    <m:t>n</m:t>
                  </m:r>
                  <m:r>
                    <m:t>j</m:t>
                  </m:r>
                </m:sub>
              </m:sSub>
            </m:e>
          </m:d>
          <m:r>
            <m:rPr>
              <m:sty m:val="p"/>
            </m:rPr>
            <m:t>=</m:t>
          </m:r>
          <m:sSub>
            <m:e>
              <m:r>
                <m:t>τ</m:t>
              </m:r>
            </m:e>
            <m:sub>
              <m:r>
                <m:t>e</m:t>
              </m:r>
            </m:sub>
          </m:sSub>
          <m:r>
            <m:t>​</m:t>
          </m:r>
          <m:d>
            <m:dPr>
              <m:begChr m:val="("/>
              <m:endChr m:val=")"/>
              <m:sepChr m:val=""/>
              <m:grow/>
            </m:dPr>
            <m:e>
              <m:r>
                <m:t>t</m:t>
              </m:r>
              <m:d>
                <m:dPr>
                  <m:begChr m:val="("/>
                  <m:endChr m:val=")"/>
                  <m:sepChr m:val=""/>
                  <m:grow/>
                </m:dPr>
                <m:e>
                  <m:sSub>
                    <m:e>
                      <m:r>
                        <m:t>e</m:t>
                      </m:r>
                    </m:e>
                    <m:sub>
                      <m:r>
                        <m:t>n</m:t>
                      </m:r>
                      <m:r>
                        <m:t>j</m:t>
                      </m:r>
                    </m:sub>
                  </m:sSub>
                </m:e>
              </m:d>
            </m:e>
          </m:d>
          <m:r>
            <m:t>κ</m:t>
          </m:r>
          <m:d>
            <m:dPr>
              <m:begChr m:val="("/>
              <m:endChr m:val=")"/>
              <m:sepChr m:val=""/>
              <m:grow/>
            </m:dPr>
            <m:e>
              <m:sSub>
                <m:e>
                  <m:r>
                    <m:t>e</m:t>
                  </m:r>
                </m:e>
                <m:sub>
                  <m:r>
                    <m:t>n</m:t>
                  </m:r>
                  <m:r>
                    <m:t>j</m:t>
                  </m:r>
                </m:sub>
              </m:sSub>
            </m:e>
          </m:d>
          <m:d>
            <m:dPr>
              <m:begChr m:val="["/>
              <m:endChr m:val="]"/>
              <m:sepChr m:val=""/>
              <m:grow/>
            </m:dPr>
            <m:e>
              <m:r>
                <m:t>1</m:t>
              </m:r>
              <m:r>
                <m:rPr>
                  <m:sty m:val="p"/>
                </m:rPr>
                <m:t>+</m:t>
              </m:r>
              <m:r>
                <m:t>γ</m:t>
              </m:r>
              <m:r>
                <m:t>q</m:t>
              </m:r>
              <m:d>
                <m:dPr>
                  <m:begChr m:val="("/>
                  <m:endChr m:val=")"/>
                  <m:sepChr m:val=""/>
                  <m:grow/>
                </m:dPr>
                <m:e>
                  <m:r>
                    <m:t>n</m:t>
                  </m:r>
                  <m:r>
                    <m:rPr>
                      <m:sty m:val="p"/>
                    </m:rPr>
                    <m:t>,</m:t>
                  </m:r>
                  <m:r>
                    <m:t>j</m:t>
                  </m:r>
                </m:e>
              </m:d>
            </m:e>
          </m:d>
          <m:r>
            <m:rPr>
              <m:sty m:val="p"/>
            </m:rPr>
            <m:t>,</m:t>
          </m:r>
        </m:oMath>
      </m:oMathPara>
      <w:r>
        <w:tab/>
      </w:r>
      <w:r>
        <w:t>(12)</w:t>
      </w:r>
    </w:p>
    <w:p>
      <w:pPr>
        <w:pStyle w:val="FirstParagraph"/>
      </w:pPr>
      <w:r>
        <w:t xml:space="preserve">where</w:t>
      </w:r>
      <w:r>
        <w:t xml:space="preserve"> </w:t>
      </w:r>
      <m:oMath>
        <m:sSub>
          <m:e>
            <m:r>
              <m:t>τ</m:t>
            </m:r>
          </m:e>
          <m:sub>
            <m:r>
              <m:t>e</m:t>
            </m:r>
          </m:sub>
        </m:sSub>
      </m:oMath>
      <w:r>
        <w:t xml:space="preserve"> </w:t>
      </w:r>
      <w:r>
        <w:t xml:space="preserve">is a group-specific base weight satisfying</w:t>
      </w:r>
      <w:r>
        <w:t xml:space="preserve"> </w:t>
      </w:r>
      <m:oMath>
        <m:sSub>
          <m:e>
            <m:r>
              <m:t>τ</m:t>
            </m:r>
          </m:e>
          <m:sub>
            <m:r>
              <m:t>e</m:t>
            </m:r>
          </m:sub>
        </m:sSub>
        <m:d>
          <m:dPr>
            <m:begChr m:val="("/>
            <m:endChr m:val=")"/>
            <m:sepChr m:val=""/>
            <m:grow/>
          </m:dPr>
          <m:e>
            <m:r>
              <m:rPr>
                <m:sty m:val="p"/>
              </m:rPr>
              <m:t>m</m:t>
            </m:r>
            <m:r>
              <m:rPr>
                <m:sty m:val="p"/>
              </m:rPr>
              <m:t>i</m:t>
            </m:r>
            <m:r>
              <m:rPr>
                <m:sty m:val="p"/>
              </m:rPr>
              <m:t>n</m:t>
            </m:r>
            <m:r>
              <m:rPr>
                <m:sty m:val="p"/>
              </m:rPr>
              <m:t>o</m:t>
            </m:r>
            <m:r>
              <m:rPr>
                <m:sty m:val="p"/>
              </m:rPr>
              <m:t>r</m:t>
            </m:r>
            <m:r>
              <m:rPr>
                <m:sty m:val="p"/>
              </m:rPr>
              <m:t>i</m:t>
            </m:r>
            <m:r>
              <m:rPr>
                <m:sty m:val="p"/>
              </m:rPr>
              <m:t>t</m:t>
            </m:r>
            <m:r>
              <m:rPr>
                <m:sty m:val="p"/>
              </m:rPr>
              <m:t>y</m:t>
            </m:r>
          </m:e>
        </m:d>
        <m:r>
          <m:rPr>
            <m:sty m:val="p"/>
          </m:rPr>
          <m:t>&gt;</m:t>
        </m:r>
        <m:sSub>
          <m:e>
            <m:r>
              <m:t>τ</m:t>
            </m:r>
          </m:e>
          <m:sub>
            <m:r>
              <m:t>e</m:t>
            </m:r>
          </m:sub>
        </m:sSub>
        <m:d>
          <m:dPr>
            <m:begChr m:val="("/>
            <m:endChr m:val=")"/>
            <m:sepChr m:val=""/>
            <m:grow/>
          </m:dPr>
          <m:e>
            <m:r>
              <m:rPr>
                <m:sty m:val="p"/>
              </m:rPr>
              <m:t>i</m:t>
            </m:r>
            <m:r>
              <m:rPr>
                <m:sty m:val="p"/>
              </m:rPr>
              <m:t>n</m:t>
            </m:r>
            <m:r>
              <m:rPr>
                <m:sty m:val="p"/>
              </m:rPr>
              <m:t>t</m:t>
            </m:r>
            <m:r>
              <m:rPr>
                <m:sty m:val="p"/>
              </m:rPr>
              <m:t>e</m:t>
            </m:r>
            <m:r>
              <m:rPr>
                <m:sty m:val="p"/>
              </m:rPr>
              <m:t>r</m:t>
            </m:r>
            <m:r>
              <m:rPr>
                <m:sty m:val="p"/>
              </m:rPr>
              <m:t>m</m:t>
            </m:r>
            <m:r>
              <m:rPr>
                <m:sty m:val="p"/>
              </m:rPr>
              <m:t>e</m:t>
            </m:r>
            <m:r>
              <m:rPr>
                <m:sty m:val="p"/>
              </m:rPr>
              <m:t>d</m:t>
            </m:r>
            <m:r>
              <m:rPr>
                <m:sty m:val="p"/>
              </m:rPr>
              <m:t>i</m:t>
            </m:r>
            <m:r>
              <m:rPr>
                <m:sty m:val="p"/>
              </m:rPr>
              <m:t>a</m:t>
            </m:r>
            <m:r>
              <m:rPr>
                <m:sty m:val="p"/>
              </m:rPr>
              <m:t>t</m:t>
            </m:r>
            <m:r>
              <m:rPr>
                <m:sty m:val="p"/>
              </m:rPr>
              <m:t>e</m:t>
            </m:r>
          </m:e>
        </m:d>
        <m:r>
          <m:rPr>
            <m:sty m:val="p"/>
          </m:rPr>
          <m:t>&gt;</m:t>
        </m:r>
        <m:sSub>
          <m:e>
            <m:r>
              <m:t>τ</m:t>
            </m:r>
          </m:e>
          <m:sub>
            <m:r>
              <m:t>e</m:t>
            </m:r>
          </m:sub>
        </m:sSub>
        <m:d>
          <m:dPr>
            <m:begChr m:val="("/>
            <m:endChr m:val=")"/>
            <m:sepChr m:val=""/>
            <m:grow/>
          </m:dPr>
          <m:e>
            <m:r>
              <m:rPr>
                <m:sty m:val="p"/>
              </m:rPr>
              <m:t>m</m:t>
            </m:r>
            <m:r>
              <m:rPr>
                <m:sty m:val="p"/>
              </m:rPr>
              <m:t>a</m:t>
            </m:r>
            <m:r>
              <m:rPr>
                <m:sty m:val="p"/>
              </m:rPr>
              <m:t>j</m:t>
            </m:r>
            <m:r>
              <m:rPr>
                <m:sty m:val="p"/>
              </m:rPr>
              <m:t>o</m:t>
            </m:r>
            <m:r>
              <m:rPr>
                <m:sty m:val="p"/>
              </m:rPr>
              <m:t>r</m:t>
            </m:r>
            <m:r>
              <m:rPr>
                <m:sty m:val="p"/>
              </m:rPr>
              <m:t>i</m:t>
            </m:r>
            <m:r>
              <m:rPr>
                <m:sty m:val="p"/>
              </m:rPr>
              <m:t>t</m:t>
            </m:r>
            <m:r>
              <m:rPr>
                <m:sty m:val="p"/>
              </m:rPr>
              <m:t>y</m:t>
            </m:r>
          </m:e>
        </m:d>
        <m:r>
          <m:rPr>
            <m:sty m:val="p"/>
          </m:rPr>
          <m:t>=</m:t>
        </m:r>
        <m:r>
          <m:t>1</m:t>
        </m:r>
      </m:oMath>
      <w:r>
        <w:t xml:space="preserve">. The intra-subtype factor is</w:t>
      </w:r>
      <w:r>
        <w:t xml:space="preserve"> </w:t>
      </w:r>
      <m:oMath>
        <m:r>
          <m:t>κ</m:t>
        </m:r>
        <m:d>
          <m:dPr>
            <m:begChr m:val="("/>
            <m:endChr m:val=")"/>
            <m:sepChr m:val=""/>
            <m:grow/>
          </m:dPr>
          <m:e>
            <m:sSub>
              <m:e>
                <m:r>
                  <m:t>e</m:t>
                </m:r>
              </m:e>
              <m:sub>
                <m:r>
                  <m:t>n</m:t>
                </m:r>
                <m:r>
                  <m:t>j</m:t>
                </m:r>
              </m:sub>
            </m:sSub>
          </m:e>
        </m:d>
        <m:r>
          <m:rPr>
            <m:sty m:val="p"/>
          </m:rPr>
          <m:t>=</m:t>
        </m:r>
        <m:sSub>
          <m:e>
            <m:r>
              <m:t>κ</m:t>
            </m:r>
          </m:e>
          <m:sub>
            <m:r>
              <m:t>t</m:t>
            </m:r>
            <m:d>
              <m:dPr>
                <m:begChr m:val="("/>
                <m:endChr m:val=")"/>
                <m:sepChr m:val=""/>
                <m:grow/>
              </m:dPr>
              <m:e>
                <m:sSub>
                  <m:e>
                    <m:r>
                      <m:t>e</m:t>
                    </m:r>
                  </m:e>
                  <m:sub>
                    <m:r>
                      <m:t>n</m:t>
                    </m:r>
                    <m:r>
                      <m:t>j</m:t>
                    </m:r>
                  </m:sub>
                </m:sSub>
              </m:e>
            </m:d>
          </m:sub>
        </m:sSub>
        <m:r>
          <m:rPr>
            <m:sty m:val="p"/>
          </m:rPr>
          <m:t>&gt;</m:t>
        </m:r>
        <m:r>
          <m:t>1</m:t>
        </m:r>
      </m:oMath>
      <w:r>
        <w:t xml:space="preserve"> </w:t>
      </w:r>
      <w:r>
        <w:t xml:space="preserve">when</w:t>
      </w:r>
      <w:r>
        <w:t xml:space="preserve"> </w:t>
      </w:r>
      <m:oMath>
        <m:sSub>
          <m:e>
            <m:r>
              <m:t>y</m:t>
            </m:r>
          </m:e>
          <m:sub>
            <m:r>
              <m:t>n</m:t>
            </m:r>
          </m:sub>
        </m:sSub>
        <m:r>
          <m:rPr>
            <m:sty m:val="p"/>
          </m:rPr>
          <m:t>=</m:t>
        </m:r>
        <m:sSub>
          <m:e>
            <m:r>
              <m:t>y</m:t>
            </m:r>
          </m:e>
          <m:sub>
            <m:r>
              <m:t>j</m:t>
            </m:r>
          </m:sub>
        </m:sSub>
      </m:oMath>
      <w:r>
        <w:t xml:space="preserve">, and</w:t>
      </w:r>
      <w:r>
        <w:t xml:space="preserve"> </w:t>
      </w:r>
      <m:oMath>
        <m:r>
          <m:t>κ</m:t>
        </m:r>
        <m:d>
          <m:dPr>
            <m:begChr m:val="("/>
            <m:endChr m:val=")"/>
            <m:sepChr m:val=""/>
            <m:grow/>
          </m:dPr>
          <m:e>
            <m:sSub>
              <m:e>
                <m:r>
                  <m:t>e</m:t>
                </m:r>
              </m:e>
              <m:sub>
                <m:r>
                  <m:t>n</m:t>
                </m:r>
                <m:r>
                  <m:t>j</m:t>
                </m:r>
              </m:sub>
            </m:sSub>
          </m:e>
        </m:d>
        <m:r>
          <m:rPr>
            <m:sty m:val="p"/>
          </m:rPr>
          <m:t>=</m:t>
        </m:r>
        <m:r>
          <m:t>1</m:t>
        </m:r>
      </m:oMath>
      <w:r>
        <w:t xml:space="preserve"> </w:t>
      </w:r>
      <w:r>
        <w:t xml:space="preserve">otherwise. The parameter</w:t>
      </w:r>
      <w:r>
        <w:t xml:space="preserve"> </w:t>
      </w:r>
      <m:oMath>
        <m:r>
          <m:t>γ</m:t>
        </m:r>
        <m:r>
          <m:rPr>
            <m:sty m:val="p"/>
          </m:rPr>
          <m:t>≥</m:t>
        </m:r>
        <m:r>
          <m:t>0</m:t>
        </m:r>
      </m:oMath>
      <w:r>
        <w:t xml:space="preserve"> </w:t>
      </w:r>
      <w:r>
        <w:t xml:space="preserve">controls the influence of structural quality. All edge weights are clipped to</w:t>
      </w:r>
      <w:r>
        <w:t xml:space="preserve"> </w:t>
      </w:r>
      <m:oMath>
        <m:d>
          <m:dPr>
            <m:begChr m:val="["/>
            <m:endChr m:val="]"/>
            <m:sepChr m:val=""/>
            <m:grow/>
          </m:dPr>
          <m:e>
            <m:r>
              <m:t>0.5</m:t>
            </m:r>
            <m:r>
              <m:rPr>
                <m:sty m:val="p"/>
              </m:rPr>
              <m:t>,</m:t>
            </m:r>
            <m:r>
              <m:t>5.0</m:t>
            </m:r>
          </m:e>
        </m:d>
      </m:oMath>
      <w:r>
        <w:t xml:space="preserve">. Together with feature enhancement, this procedure yields</w:t>
      </w:r>
      <w:r>
        <w:t xml:space="preserve"> </w:t>
      </w:r>
      <m:oMath>
        <m:sSub>
          <m:e>
            <m:acc>
              <m:accPr>
                <m:chr m:val="̂"/>
              </m:accPr>
              <m:e>
                <m:r>
                  <m:t>G</m:t>
                </m:r>
              </m:e>
            </m:acc>
          </m:e>
          <m:sub>
            <m:r>
              <m:t>v</m:t>
            </m:r>
          </m:sub>
        </m:sSub>
        <m:r>
          <m:rPr>
            <m:sty m:val="p"/>
          </m:rPr>
          <m:t>=</m:t>
        </m:r>
        <m:d>
          <m:dPr>
            <m:begChr m:val="("/>
            <m:endChr m:val=")"/>
            <m:sepChr m:val=""/>
            <m:grow/>
          </m:dPr>
          <m:e>
            <m:sSub>
              <m:e>
                <m:acc>
                  <m:accPr>
                    <m:chr m:val="̂"/>
                  </m:accPr>
                  <m:e>
                    <m:r>
                      <m:t>X</m:t>
                    </m:r>
                  </m:e>
                </m:acc>
              </m:e>
              <m:sub>
                <m:r>
                  <m:t>v</m:t>
                </m:r>
              </m:sub>
            </m:sSub>
            <m:r>
              <m:rPr>
                <m:sty m:val="p"/>
              </m:rPr>
              <m:t>,</m:t>
            </m:r>
            <m:sSub>
              <m:e>
                <m:acc>
                  <m:accPr>
                    <m:chr m:val="̂"/>
                  </m:accPr>
                  <m:e>
                    <m:r>
                      <m:t>A</m:t>
                    </m:r>
                  </m:e>
                </m:acc>
              </m:e>
              <m:sub>
                <m:r>
                  <m:t>v</m:t>
                </m:r>
              </m:sub>
            </m:sSub>
            <m:r>
              <m:rPr>
                <m:sty m:val="p"/>
              </m:rPr>
              <m:t>,</m:t>
            </m:r>
            <m:sSub>
              <m:e>
                <m:r>
                  <m:t>W</m:t>
                </m:r>
              </m:e>
              <m:sub>
                <m:r>
                  <m:t>v</m:t>
                </m:r>
              </m:sub>
            </m:sSub>
          </m:e>
        </m:d>
      </m:oMath>
      <w:r>
        <w:t xml:space="preserve"> </w:t>
      </w:r>
      <w:r>
        <w:t xml:space="preserve">for each omics modality.</w:t>
      </w:r>
    </w:p>
    <w:bookmarkEnd w:id="24"/>
    <w:bookmarkEnd w:id="25"/>
    <w:bookmarkStart w:id="28" w:name="contrastive-fusion-classification"/>
    <w:p>
      <w:pPr>
        <w:pStyle w:val="4"/>
      </w:pPr>
      <w:r>
        <w:t xml:space="preserve">3.3 Contrastive Fusion Classification</w:t>
      </w:r>
    </w:p>
    <w:p>
      <w:pPr>
        <w:pStyle w:val="FirstParagraph"/>
      </w:pPr>
      <w:r>
        <w:t xml:space="preserve">CFC takes the original graph set</w:t>
      </w:r>
      <w:r>
        <w:t xml:space="preserve"> </w:t>
      </w:r>
      <m:oMath>
        <m:r>
          <m:rPr>
            <m:sty m:val="p"/>
            <m:scr m:val="script"/>
          </m:rPr>
          <m:t>G</m:t>
        </m:r>
        <m:r>
          <m:rPr>
            <m:sty m:val="p"/>
          </m:rPr>
          <m:t>=</m:t>
        </m:r>
        <m:r>
          <m:rPr>
            <m:sty m:val="p"/>
          </m:rPr>
          <m:t>{</m:t>
        </m:r>
        <m:sSub>
          <m:e>
            <m:r>
              <m:t>G</m:t>
            </m:r>
          </m:e>
          <m:sub>
            <m:r>
              <m:t>1</m:t>
            </m:r>
          </m:sub>
        </m:sSub>
        <m:r>
          <m:rPr>
            <m:sty m:val="p"/>
          </m:rPr>
          <m:t>,</m:t>
        </m:r>
        <m:r>
          <m:rPr>
            <m:sty m:val="p"/>
          </m:rPr>
          <m:t>…</m:t>
        </m:r>
        <m:r>
          <m:rPr>
            <m:sty m:val="p"/>
          </m:rPr>
          <m:t>,</m:t>
        </m:r>
        <m:sSub>
          <m:e>
            <m:r>
              <m:t>G</m:t>
            </m:r>
          </m:e>
          <m:sub>
            <m:r>
              <m:t>V</m:t>
            </m:r>
          </m:sub>
        </m:sSub>
        <m:r>
          <m:rPr>
            <m:sty m:val="p"/>
          </m:rPr>
          <m:t>}</m:t>
        </m:r>
      </m:oMath>
      <w:r>
        <w:t xml:space="preserve"> </w:t>
      </w:r>
      <w:r>
        <w:t xml:space="preserve">and the enhanced graph set</w:t>
      </w:r>
      <w:r>
        <w:t xml:space="preserve"> </w:t>
      </w:r>
      <m:oMath>
        <m:acc>
          <m:accPr>
            <m:chr m:val="̂"/>
          </m:accPr>
          <m:e>
            <m:r>
              <m:rPr>
                <m:sty m:val="p"/>
                <m:scr m:val="script"/>
              </m:rPr>
              <m:t>G</m:t>
            </m:r>
          </m:e>
        </m:acc>
        <m:r>
          <m:rPr>
            <m:sty m:val="p"/>
          </m:rPr>
          <m:t>=</m:t>
        </m:r>
        <m:r>
          <m:rPr>
            <m:sty m:val="p"/>
          </m:rPr>
          <m:t>{</m:t>
        </m:r>
        <m:sSub>
          <m:e>
            <m:acc>
              <m:accPr>
                <m:chr m:val="̂"/>
              </m:accPr>
              <m:e>
                <m:r>
                  <m:t>G</m:t>
                </m:r>
              </m:e>
            </m:acc>
          </m:e>
          <m:sub>
            <m:r>
              <m:t>1</m:t>
            </m:r>
          </m:sub>
        </m:sSub>
        <m:r>
          <m:rPr>
            <m:sty m:val="p"/>
          </m:rPr>
          <m:t>,</m:t>
        </m:r>
        <m:r>
          <m:rPr>
            <m:sty m:val="p"/>
          </m:rPr>
          <m:t>…</m:t>
        </m:r>
        <m:r>
          <m:rPr>
            <m:sty m:val="p"/>
          </m:rPr>
          <m:t>,</m:t>
        </m:r>
        <m:sSub>
          <m:e>
            <m:acc>
              <m:accPr>
                <m:chr m:val="̂"/>
              </m:accPr>
              <m:e>
                <m:r>
                  <m:t>G</m:t>
                </m:r>
              </m:e>
            </m:acc>
          </m:e>
          <m:sub>
            <m:r>
              <m:t>V</m:t>
            </m:r>
          </m:sub>
        </m:sSub>
        <m:r>
          <m:rPr>
            <m:sty m:val="p"/>
          </m:rPr>
          <m:t>}</m:t>
        </m:r>
      </m:oMath>
      <w:r>
        <w:t xml:space="preserve"> </w:t>
      </w:r>
      <w:r>
        <w:t xml:space="preserve">as input. It first extracts modality-specific representations from both graph views, then aligns the two patient representations through contrastive learning, and finally integrates complementary omics information through node-level self-attention for subtype classification.</w:t>
      </w:r>
    </w:p>
    <w:bookmarkStart w:id="26" w:name="contrastive-representation-learning"/>
    <w:p>
      <w:pPr>
        <w:pStyle w:val="5"/>
      </w:pPr>
      <w:r>
        <w:t xml:space="preserve">3.3.1 Contrastive Representation Learning</w:t>
      </w:r>
    </w:p>
    <w:p>
      <w:pPr>
        <w:pStyle w:val="FirstParagraph"/>
      </w:pPr>
      <w:r>
        <w:t xml:space="preserve">For omics modality</w:t>
      </w:r>
      <w:r>
        <w:t xml:space="preserve"> </w:t>
      </w:r>
      <m:oMath>
        <m:r>
          <m:t>v</m:t>
        </m:r>
      </m:oMath>
      <w:r>
        <w:t xml:space="preserve">, the original and enhanced graphs are processed by the same modality-specific GCN encoder</w:t>
      </w:r>
      <w:r>
        <w:t xml:space="preserve"> </w:t>
      </w:r>
      <m:oMath>
        <m:sSub>
          <m:e>
            <m:r>
              <m:t>f</m:t>
            </m:r>
          </m:e>
          <m:sub>
            <m:r>
              <m:t>v</m:t>
            </m:r>
          </m:sub>
        </m:sSub>
        <m:d>
          <m:dPr>
            <m:begChr m:val="("/>
            <m:endChr m:val=")"/>
            <m:sepChr m:val=""/>
            <m:grow/>
          </m:dPr>
          <m:e>
            <m:r>
              <m:rPr>
                <m:sty m:val="p"/>
              </m:rPr>
              <m:t>⋅</m:t>
            </m:r>
          </m:e>
        </m:d>
      </m:oMath>
      <w:r>
        <w:t xml:space="preserve">:</w:t>
      </w:r>
    </w:p>
    <w:p>
      <w:pPr>
        <w:pStyle w:val="19"/>
        <w:tabs>
          <w:tab w:val="right" w:pos="9360"/>
        </w:tabs>
      </w:pPr>
      <m:oMathPara>
        <m:oMathParaPr>
          <m:jc m:val="center"/>
        </m:oMathParaPr>
        <m:oMath>
          <m:sSub>
            <m:e>
              <m:r>
                <m:t>H</m:t>
              </m:r>
            </m:e>
            <m:sub>
              <m:r>
                <m:t>v</m:t>
              </m:r>
            </m:sub>
          </m:sSub>
          <m:r>
            <m:rPr>
              <m:sty m:val="p"/>
            </m:rPr>
            <m:t>=</m:t>
          </m:r>
          <m:sSub>
            <m:e>
              <m:r>
                <m:t>f</m:t>
              </m:r>
            </m:e>
            <m:sub>
              <m:r>
                <m:t>v</m:t>
              </m:r>
            </m:sub>
          </m:sSub>
          <m:d>
            <m:dPr>
              <m:begChr m:val="("/>
              <m:endChr m:val=")"/>
              <m:sepChr m:val=""/>
              <m:grow/>
            </m:dPr>
            <m:e>
              <m:sSub>
                <m:e>
                  <m:r>
                    <m:t>G</m:t>
                  </m:r>
                </m:e>
                <m:sub>
                  <m:r>
                    <m:t>v</m:t>
                  </m:r>
                </m:sub>
              </m:sSub>
            </m:e>
          </m:d>
          <m:r>
            <m:rPr>
              <m:sty m:val="p"/>
            </m:rPr>
            <m:t>,</m:t>
          </m:r>
          <m:r>
            <m:t>  </m:t>
          </m:r>
          <m:sSub>
            <m:e>
              <m:acc>
                <m:accPr>
                  <m:chr m:val="̂"/>
                </m:accPr>
                <m:e>
                  <m:r>
                    <m:t>H</m:t>
                  </m:r>
                </m:e>
              </m:acc>
            </m:e>
            <m:sub>
              <m:r>
                <m:t>v</m:t>
              </m:r>
            </m:sub>
          </m:sSub>
          <m:r>
            <m:rPr>
              <m:sty m:val="p"/>
            </m:rPr>
            <m:t>=</m:t>
          </m:r>
          <m:sSub>
            <m:e>
              <m:r>
                <m:t>f</m:t>
              </m:r>
            </m:e>
            <m:sub>
              <m:r>
                <m:t>v</m:t>
              </m:r>
            </m:sub>
          </m:sSub>
          <m:d>
            <m:dPr>
              <m:begChr m:val="("/>
              <m:endChr m:val=")"/>
              <m:sepChr m:val=""/>
              <m:grow/>
            </m:dPr>
            <m:e>
              <m:sSub>
                <m:e>
                  <m:acc>
                    <m:accPr>
                      <m:chr m:val="̂"/>
                    </m:accPr>
                    <m:e>
                      <m:r>
                        <m:t>G</m:t>
                      </m:r>
                    </m:e>
                  </m:acc>
                </m:e>
                <m:sub>
                  <m:r>
                    <m:t>v</m:t>
                  </m:r>
                </m:sub>
              </m:sSub>
            </m:e>
          </m:d>
          <m:r>
            <m:rPr>
              <m:sty m:val="p"/>
            </m:rPr>
            <m:t>,</m:t>
          </m:r>
        </m:oMath>
      </m:oMathPara>
      <w:r>
        <w:tab/>
      </w:r>
      <w:r>
        <w:t>(13)</w:t>
      </w:r>
    </w:p>
    <w:p>
      <w:pPr>
        <w:pStyle w:val="FirstParagraph"/>
      </w:pPr>
      <w:r>
        <w:t xml:space="preserve">where</w:t>
      </w:r>
      <w:r>
        <w:t xml:space="preserve"> </w:t>
      </w:r>
      <m:oMath>
        <m:sSub>
          <m:e>
            <m:r>
              <m:t>H</m:t>
            </m:r>
          </m:e>
          <m:sub>
            <m:r>
              <m:t>v</m:t>
            </m:r>
          </m:sub>
        </m:sSub>
      </m:oMath>
      <w:r>
        <w:t xml:space="preserve"> </w:t>
      </w:r>
      <w:r>
        <w:t xml:space="preserve">and</w:t>
      </w:r>
      <w:r>
        <w:t xml:space="preserve"> </w:t>
      </w:r>
      <m:oMath>
        <m:sSub>
          <m:e>
            <m:acc>
              <m:accPr>
                <m:chr m:val="̂"/>
              </m:accPr>
              <m:e>
                <m:r>
                  <m:t>H</m:t>
                </m:r>
              </m:e>
            </m:acc>
          </m:e>
          <m:sub>
            <m:r>
              <m:t>v</m:t>
            </m:r>
          </m:sub>
        </m:sSub>
      </m:oMath>
      <w:r>
        <w:t xml:space="preserve"> </w:t>
      </w:r>
      <w:r>
        <w:t xml:space="preserve">are the node-representation matrices obtained from the two views. Unit edge weights are used for</w:t>
      </w:r>
      <w:r>
        <w:t xml:space="preserve"> </w:t>
      </w:r>
      <m:oMath>
        <m:sSub>
          <m:e>
            <m:r>
              <m:t>G</m:t>
            </m:r>
          </m:e>
          <m:sub>
            <m:r>
              <m:t>v</m:t>
            </m:r>
          </m:sub>
        </m:sSub>
      </m:oMath>
      <w:r>
        <w:t xml:space="preserve">, whereas</w:t>
      </w:r>
      <w:r>
        <w:t xml:space="preserve"> </w:t>
      </w:r>
      <m:oMath>
        <m:sSub>
          <m:e>
            <m:acc>
              <m:accPr>
                <m:chr m:val="̂"/>
              </m:accPr>
              <m:e>
                <m:r>
                  <m:t>G</m:t>
                </m:r>
              </m:e>
            </m:acc>
          </m:e>
          <m:sub>
            <m:r>
              <m:t>v</m:t>
            </m:r>
          </m:sub>
        </m:sSub>
      </m:oMath>
      <w:r>
        <w:t xml:space="preserve"> </w:t>
      </w:r>
      <w:r>
        <w:t xml:space="preserve">uses the edge weights</w:t>
      </w:r>
      <w:r>
        <w:t xml:space="preserve"> </w:t>
      </w:r>
      <m:oMath>
        <m:sSub>
          <m:e>
            <m:r>
              <m:t>W</m:t>
            </m:r>
          </m:e>
          <m:sub>
            <m:r>
              <m:t>v</m:t>
            </m:r>
          </m:sub>
        </m:sSub>
      </m:oMath>
      <w:r>
        <w:t xml:space="preserve"> </w:t>
      </w:r>
      <w:r>
        <w:t xml:space="preserve">defined in Eq. (12). Different omics modalities use separate encoders to preserve modality-specific graph patterns, while the original and enhanced views of the same modality share encoder parameters.</w:t>
      </w:r>
    </w:p>
    <w:p>
      <w:pPr>
        <w:pStyle w:val="19"/>
      </w:pPr>
      <w:r>
        <w:t xml:space="preserve">For each view, the modality-specific node representations are fused and concatenated as described in Section 3.3.2. A two-layer projection head maps the resulting patient representations to</w:t>
      </w:r>
      <w:r>
        <w:t xml:space="preserve"> </w:t>
      </w:r>
      <m:oMath>
        <m:sSub>
          <m:e>
            <m:r>
              <m:t>L</m:t>
            </m:r>
          </m:e>
          <m:sub>
            <m:r>
              <m:t>2</m:t>
            </m:r>
          </m:sub>
        </m:sSub>
      </m:oMath>
      <w:r>
        <w:t xml:space="preserve">-normalized embeddings</w:t>
      </w:r>
      <w:r>
        <w:t xml:space="preserve"> </w:t>
      </w:r>
      <m:oMath>
        <m:sSub>
          <m:e>
            <m:r>
              <m:t>z</m:t>
            </m:r>
          </m:e>
          <m:sub>
            <m:r>
              <m:t>n</m:t>
            </m:r>
          </m:sub>
        </m:sSub>
      </m:oMath>
      <w:r>
        <w:t xml:space="preserve"> </w:t>
      </w:r>
      <w:r>
        <w:t xml:space="preserve">and</w:t>
      </w:r>
      <w:r>
        <w:t xml:space="preserve"> </w:t>
      </w:r>
      <m:oMath>
        <m:sSub>
          <m:e>
            <m:acc>
              <m:accPr>
                <m:chr m:val="̂"/>
              </m:accPr>
              <m:e>
                <m:r>
                  <m:t>z</m:t>
                </m:r>
              </m:e>
            </m:acc>
          </m:e>
          <m:sub>
            <m:r>
              <m:t>n</m:t>
            </m:r>
          </m:sub>
        </m:sSub>
      </m:oMath>
      <w:r>
        <w:t xml:space="preserve">. Representations of the same patient across the two views form a positive pair, whereas representations of different patients form negative pairs. For the training patients, define the cross-view similarity matrix</w:t>
      </w:r>
      <w:r>
        <w:t xml:space="preserve"> </w:t>
      </w:r>
      <m:oMath>
        <m:r>
          <m:t>S</m:t>
        </m:r>
      </m:oMath>
      <w:r>
        <w:t xml:space="preserve"> </w:t>
      </w:r>
      <w:r>
        <w:t xml:space="preserve">by</w:t>
      </w:r>
      <w:r>
        <w:t xml:space="preserve"> </w:t>
      </w:r>
      <m:oMath>
        <m:sSub>
          <m:e>
            <m:r>
              <m:t>S</m:t>
            </m:r>
          </m:e>
          <m:sub>
            <m:r>
              <m:t>n</m:t>
            </m:r>
            <m:r>
              <m:t>j</m:t>
            </m:r>
          </m:sub>
        </m:sSub>
        <m:r>
          <m:rPr>
            <m:sty m:val="p"/>
          </m:rPr>
          <m:t>=</m:t>
        </m:r>
        <m:sSubSup>
          <m:e>
            <m:r>
              <m:t>z</m:t>
            </m:r>
          </m:e>
          <m:sub>
            <m:r>
              <m:t>n</m:t>
            </m:r>
          </m:sub>
          <m:sup>
            <m:r>
              <m:rPr>
                <m:sty m:val="p"/>
              </m:rPr>
              <m:t>⊤</m:t>
            </m:r>
          </m:sup>
        </m:sSubSup>
        <m:sSub>
          <m:e>
            <m:acc>
              <m:accPr>
                <m:chr m:val="̂"/>
              </m:accPr>
              <m:e>
                <m:r>
                  <m:t>z</m:t>
                </m:r>
              </m:e>
            </m:acc>
          </m:e>
          <m:sub>
            <m:r>
              <m:t>j</m:t>
            </m:r>
          </m:sub>
        </m:sSub>
        <m:r>
          <m:rPr>
            <m:sty m:val="p"/>
          </m:rPr>
          <m:t>/</m:t>
        </m:r>
        <m:r>
          <m:t>τ</m:t>
        </m:r>
      </m:oMath>
      <w:r>
        <w:t xml:space="preserve">. The bidirectional contrastive loss is</w:t>
      </w:r>
    </w:p>
    <w:p>
      <w:pPr>
        <w:pStyle w:val="19"/>
        <w:tabs>
          <w:tab w:val="right" w:pos="9360"/>
        </w:tabs>
      </w:pPr>
      <m:oMathPara>
        <m:oMathParaPr>
          <m:jc m:val="center"/>
        </m:oMathParaPr>
        <m:oMath>
          <m:sSub>
            <m:e>
              <m:r>
                <m:rPr>
                  <m:sty m:val="p"/>
                  <m:scr m:val="script"/>
                </m:rPr>
                <m:t>L</m:t>
              </m:r>
            </m:e>
            <m:sub>
              <m:r>
                <m:rPr>
                  <m:sty m:val="p"/>
                </m:rPr>
                <m:t>c</m:t>
              </m:r>
              <m:r>
                <m:rPr>
                  <m:sty m:val="p"/>
                </m:rPr>
                <m:t>o</m:t>
              </m:r>
              <m:r>
                <m:rPr>
                  <m:sty m:val="p"/>
                </m:rPr>
                <m:t>n</m:t>
              </m:r>
            </m:sub>
          </m:sSub>
          <m:r>
            <m:rPr>
              <m:sty m:val="p"/>
            </m:rPr>
            <m:t>=</m:t>
          </m:r>
          <m:f>
            <m:fPr>
              <m:type m:val="bar"/>
            </m:fPr>
            <m:num>
              <m:r>
                <m:t>1</m:t>
              </m:r>
            </m:num>
            <m:den>
              <m:r>
                <m:t>2</m:t>
              </m:r>
            </m:den>
          </m:f>
          <m:d>
            <m:dPr>
              <m:begChr m:val="["/>
              <m:endChr m:val="]"/>
              <m:sepChr m:val=""/>
              <m:grow/>
            </m:dPr>
            <m:e>
              <m:r>
                <m:rPr>
                  <m:sty m:val="p"/>
                </m:rPr>
                <m:t>CE</m:t>
              </m:r>
              <m:r>
                <m:t>​</m:t>
              </m:r>
              <m:d>
                <m:dPr>
                  <m:begChr m:val="("/>
                  <m:endChr m:val=")"/>
                  <m:sepChr m:val=""/>
                  <m:grow/>
                </m:dPr>
                <m:e>
                  <m:r>
                    <m:t>S</m:t>
                  </m:r>
                  <m:r>
                    <m:rPr>
                      <m:sty m:val="p"/>
                    </m:rPr>
                    <m:t>,</m:t>
                  </m:r>
                  <m:sSup>
                    <m:e>
                      <m:r>
                        <m:rPr>
                          <m:sty m:val="b"/>
                        </m:rPr>
                        <m:t>y</m:t>
                      </m:r>
                    </m:e>
                    <m:sup>
                      <m:r>
                        <m:rPr>
                          <m:sty m:val="p"/>
                        </m:rPr>
                        <m:t>i</m:t>
                      </m:r>
                      <m:r>
                        <m:rPr>
                          <m:sty m:val="p"/>
                        </m:rPr>
                        <m:t>d</m:t>
                      </m:r>
                    </m:sup>
                  </m:sSup>
                </m:e>
              </m:d>
              <m:r>
                <m:rPr>
                  <m:sty m:val="p"/>
                </m:rPr>
                <m:t>+</m:t>
              </m:r>
              <m:r>
                <m:rPr>
                  <m:sty m:val="p"/>
                </m:rPr>
                <m:t>CE</m:t>
              </m:r>
              <m:r>
                <m:t>​</m:t>
              </m:r>
              <m:d>
                <m:dPr>
                  <m:begChr m:val="("/>
                  <m:endChr m:val=")"/>
                  <m:sepChr m:val=""/>
                  <m:grow/>
                </m:dPr>
                <m:e>
                  <m:sSup>
                    <m:e>
                      <m:r>
                        <m:t>S</m:t>
                      </m:r>
                    </m:e>
                    <m:sup>
                      <m:r>
                        <m:rPr>
                          <m:sty m:val="p"/>
                        </m:rPr>
                        <m:t>⊤</m:t>
                      </m:r>
                    </m:sup>
                  </m:sSup>
                  <m:r>
                    <m:rPr>
                      <m:sty m:val="p"/>
                    </m:rPr>
                    <m:t>,</m:t>
                  </m:r>
                  <m:sSup>
                    <m:e>
                      <m:r>
                        <m:rPr>
                          <m:sty m:val="b"/>
                        </m:rPr>
                        <m:t>y</m:t>
                      </m:r>
                    </m:e>
                    <m:sup>
                      <m:r>
                        <m:rPr>
                          <m:sty m:val="p"/>
                        </m:rPr>
                        <m:t>i</m:t>
                      </m:r>
                      <m:r>
                        <m:rPr>
                          <m:sty m:val="p"/>
                        </m:rPr>
                        <m:t>d</m:t>
                      </m:r>
                    </m:sup>
                  </m:sSup>
                </m:e>
              </m:d>
            </m:e>
          </m:d>
          <m:r>
            <m:rPr>
              <m:sty m:val="p"/>
            </m:rPr>
            <m:t>,</m:t>
          </m:r>
        </m:oMath>
      </m:oMathPara>
      <w:r>
        <w:tab/>
      </w:r>
      <w:r>
        <w:t>(14)</w:t>
      </w:r>
    </w:p>
    <w:p>
      <w:pPr>
        <w:pStyle w:val="FirstParagraph"/>
      </w:pPr>
      <w:r>
        <w:t xml:space="preserve">where</w:t>
      </w:r>
      <w:r>
        <w:t xml:space="preserve"> </w:t>
      </w:r>
      <m:oMath>
        <m:r>
          <m:t>τ</m:t>
        </m:r>
        <m:r>
          <m:rPr>
            <m:sty m:val="p"/>
          </m:rPr>
          <m:t>&gt;</m:t>
        </m:r>
        <m:r>
          <m:t>0</m:t>
        </m:r>
      </m:oMath>
      <w:r>
        <w:t xml:space="preserve"> </w:t>
      </w:r>
      <w:r>
        <w:t xml:space="preserve">is the contrastive temperature,</w:t>
      </w:r>
      <w:r>
        <w:t xml:space="preserve"> </w:t>
      </w:r>
      <m:oMath>
        <m:r>
          <m:rPr>
            <m:sty m:val="p"/>
          </m:rPr>
          <m:t>CE</m:t>
        </m:r>
      </m:oMath>
      <w:r>
        <w:t xml:space="preserve"> </w:t>
      </w:r>
      <w:r>
        <w:t xml:space="preserve">denotes row-wise cross-entropy, and</w:t>
      </w:r>
      <w:r>
        <w:t xml:space="preserve"> </w:t>
      </w:r>
      <m:oMath>
        <m:sSup>
          <m:e>
            <m:r>
              <m:rPr>
                <m:sty m:val="b"/>
              </m:rPr>
              <m:t>y</m:t>
            </m:r>
          </m:e>
          <m:sup>
            <m:r>
              <m:rPr>
                <m:sty m:val="p"/>
              </m:rPr>
              <m:t>i</m:t>
            </m:r>
            <m:r>
              <m:rPr>
                <m:sty m:val="p"/>
              </m:rPr>
              <m:t>d</m:t>
            </m:r>
          </m:sup>
        </m:sSup>
      </m:oMath>
      <w:r>
        <w:t xml:space="preserve"> </w:t>
      </w:r>
      <w:r>
        <w:t xml:space="preserve">identifies the diagonal entries of</w:t>
      </w:r>
      <w:r>
        <w:t xml:space="preserve"> </w:t>
      </w:r>
      <m:oMath>
        <m:r>
          <m:t>S</m:t>
        </m:r>
      </m:oMath>
      <w:r>
        <w:t xml:space="preserve"> </w:t>
      </w:r>
      <w:r>
        <w:t xml:space="preserve">as positive pairs. This objective preserves patient identity across the class-aware feature and topology perturbations.</w:t>
      </w:r>
    </w:p>
    <w:bookmarkEnd w:id="26"/>
    <w:bookmarkStart w:id="27" w:name="multi-omics-fusion-and-classification"/>
    <w:p>
      <w:pPr>
        <w:pStyle w:val="5"/>
      </w:pPr>
      <w:r>
        <w:t xml:space="preserve">3.3.2 Multi-omics Fusion and Classification</w:t>
      </w:r>
    </w:p>
    <w:p>
      <w:pPr>
        <w:pStyle w:val="FirstParagraph"/>
      </w:pPr>
      <w:r>
        <w:t xml:space="preserve">Because the contribution of each omics modality can vary among patients, CFC estimates patient-specific modality weights using multi-head self-attention. Let</w:t>
      </w:r>
      <w:r>
        <w:t xml:space="preserve"> </w:t>
      </w:r>
      <m:oMath>
        <m:sSub>
          <m:e>
            <m:acc>
              <m:accPr>
                <m:chr m:val="̃"/>
              </m:accPr>
              <m:e>
                <m:r>
                  <m:t>h</m:t>
                </m:r>
              </m:e>
            </m:acc>
          </m:e>
          <m:sub>
            <m:r>
              <m:t>n</m:t>
            </m:r>
            <m:r>
              <m:rPr>
                <m:sty m:val="p"/>
              </m:rPr>
              <m:t>,</m:t>
            </m:r>
            <m:r>
              <m:t>v</m:t>
            </m:r>
          </m:sub>
        </m:sSub>
        <m:r>
          <m:rPr>
            <m:sty m:val="p"/>
          </m:rPr>
          <m:t>=</m:t>
        </m:r>
        <m:sSub>
          <m:e>
            <m:r>
              <m:t>Φ</m:t>
            </m:r>
          </m:e>
          <m:sub>
            <m:r>
              <m:t>v</m:t>
            </m:r>
          </m:sub>
        </m:sSub>
        <m:sSub>
          <m:e>
            <m:r>
              <m:t>h</m:t>
            </m:r>
          </m:e>
          <m:sub>
            <m:r>
              <m:t>n</m:t>
            </m:r>
            <m:r>
              <m:rPr>
                <m:sty m:val="p"/>
              </m:rPr>
              <m:t>,</m:t>
            </m:r>
            <m:r>
              <m:t>v</m:t>
            </m:r>
          </m:sub>
        </m:sSub>
      </m:oMath>
      <w:r>
        <w:t xml:space="preserve"> </w:t>
      </w:r>
      <w:r>
        <w:t xml:space="preserve">be the transformed representation of patient</w:t>
      </w:r>
      <w:r>
        <w:t xml:space="preserve"> </w:t>
      </w:r>
      <m:oMath>
        <m:r>
          <m:t>n</m:t>
        </m:r>
      </m:oMath>
      <w:r>
        <w:t xml:space="preserve"> </w:t>
      </w:r>
      <w:r>
        <w:t xml:space="preserve">from modality</w:t>
      </w:r>
      <w:r>
        <w:t xml:space="preserve"> </w:t>
      </w:r>
      <m:oMath>
        <m:r>
          <m:t>v</m:t>
        </m:r>
      </m:oMath>
      <w:r>
        <w:t xml:space="preserve">, and let</w:t>
      </w:r>
      <w:r>
        <w:t xml:space="preserve"> </w:t>
      </w:r>
      <m:oMath>
        <m:sSub>
          <m:e>
            <m:acc>
              <m:accPr>
                <m:chr m:val="‾"/>
              </m:accPr>
              <m:e>
                <m:r>
                  <m:t>h</m:t>
                </m:r>
              </m:e>
            </m:acc>
          </m:e>
          <m:sub>
            <m:r>
              <m:t>n</m:t>
            </m:r>
          </m:sub>
        </m:sSub>
        <m:r>
          <m:rPr>
            <m:sty m:val="p"/>
          </m:rPr>
          <m:t>=</m:t>
        </m:r>
        <m:sSup>
          <m:e>
            <m:r>
              <m:t>V</m:t>
            </m:r>
          </m:e>
          <m:sup>
            <m:r>
              <m:rPr>
                <m:sty m:val="p"/>
              </m:rPr>
              <m:t>−</m:t>
            </m:r>
            <m:r>
              <m:t>1</m:t>
            </m:r>
          </m:sup>
        </m:sSup>
        <m:nary>
          <m:naryPr>
            <m:chr m:val="∑"/>
            <m:limLoc m:val="undOvr"/>
            <m:subHide m:val="0"/>
            <m:supHide m:val="0"/>
          </m:naryPr>
          <m:sub>
            <m:r>
              <m:t>v</m:t>
            </m:r>
            <m:r>
              <m:rPr>
                <m:sty m:val="p"/>
              </m:rPr>
              <m:t>=</m:t>
            </m:r>
            <m:r>
              <m:t>1</m:t>
            </m:r>
          </m:sub>
          <m:sup>
            <m:r>
              <m:t>V</m:t>
            </m:r>
          </m:sup>
          <m:e>
            <m:sSub>
              <m:e>
                <m:acc>
                  <m:accPr>
                    <m:chr m:val="̃"/>
                  </m:accPr>
                  <m:e>
                    <m:r>
                      <m:t>h</m:t>
                    </m:r>
                  </m:e>
                </m:acc>
              </m:e>
              <m:sub>
                <m:r>
                  <m:t>n</m:t>
                </m:r>
                <m:r>
                  <m:rPr>
                    <m:sty m:val="p"/>
                  </m:rPr>
                  <m:t>,</m:t>
                </m:r>
                <m:r>
                  <m:t>v</m:t>
                </m:r>
              </m:sub>
            </m:sSub>
          </m:e>
        </m:nary>
      </m:oMath>
      <w:r>
        <w:t xml:space="preserve">. For attention head</w:t>
      </w:r>
      <w:r>
        <w:t xml:space="preserve"> </w:t>
      </w:r>
      <m:oMath>
        <m:r>
          <m:t>k</m:t>
        </m:r>
      </m:oMath>
      <w:r>
        <w:t xml:space="preserve">, the query is constructed from</w:t>
      </w:r>
      <w:r>
        <w:t xml:space="preserve"> </w:t>
      </w:r>
      <m:oMath>
        <m:sSub>
          <m:e>
            <m:acc>
              <m:accPr>
                <m:chr m:val="‾"/>
              </m:accPr>
              <m:e>
                <m:r>
                  <m:t>h</m:t>
                </m:r>
              </m:e>
            </m:acc>
          </m:e>
          <m:sub>
            <m:r>
              <m:t>n</m:t>
            </m:r>
          </m:sub>
        </m:sSub>
      </m:oMath>
      <w:r>
        <w:t xml:space="preserve">, whereas the key is constructed from</w:t>
      </w:r>
      <w:r>
        <w:t xml:space="preserve"> </w:t>
      </w:r>
      <m:oMath>
        <m:sSub>
          <m:e>
            <m:acc>
              <m:accPr>
                <m:chr m:val="̃"/>
              </m:accPr>
              <m:e>
                <m:r>
                  <m:t>h</m:t>
                </m:r>
              </m:e>
            </m:acc>
          </m:e>
          <m:sub>
            <m:r>
              <m:t>n</m:t>
            </m:r>
            <m:r>
              <m:rPr>
                <m:sty m:val="p"/>
              </m:rPr>
              <m:t>,</m:t>
            </m:r>
            <m:r>
              <m:t>v</m:t>
            </m:r>
          </m:sub>
        </m:sSub>
      </m:oMath>
      <w:r>
        <w:t xml:space="preserve">. The modality weight is</w:t>
      </w:r>
    </w:p>
    <w:p>
      <w:pPr>
        <w:pStyle w:val="19"/>
        <w:tabs>
          <w:tab w:val="right" w:pos="9360"/>
        </w:tabs>
      </w:pPr>
      <m:oMathPara>
        <m:oMathParaPr>
          <m:jc m:val="center"/>
        </m:oMathParaPr>
        <m:oMath>
          <m:sSub>
            <m:e>
              <m:r>
                <m:t>α</m:t>
              </m:r>
            </m:e>
            <m:sub>
              <m:r>
                <m:t>n</m:t>
              </m:r>
              <m:r>
                <m:rPr>
                  <m:sty m:val="p"/>
                </m:rPr>
                <m:t>,</m:t>
              </m:r>
              <m:r>
                <m:t>v</m:t>
              </m:r>
            </m:sub>
          </m:sSub>
          <m:r>
            <m:rPr>
              <m:sty m:val="p"/>
            </m:rPr>
            <m:t>=</m:t>
          </m:r>
          <m:f>
            <m:fPr>
              <m:type m:val="bar"/>
            </m:fPr>
            <m:num>
              <m:r>
                <m:t>1</m:t>
              </m:r>
            </m:num>
            <m:den>
              <m:r>
                <m:t>K</m:t>
              </m:r>
            </m:den>
          </m:f>
          <m:nary>
            <m:naryPr>
              <m:chr m:val="∑"/>
              <m:limLoc m:val="undOvr"/>
              <m:subHide m:val="0"/>
              <m:supHide m:val="0"/>
            </m:naryPr>
            <m:sub>
              <m:r>
                <m:t>k</m:t>
              </m:r>
              <m:r>
                <m:rPr>
                  <m:sty m:val="p"/>
                </m:rPr>
                <m:t>=</m:t>
              </m:r>
              <m:r>
                <m:t>1</m:t>
              </m:r>
            </m:sub>
            <m:sup>
              <m:r>
                <m:t>K</m:t>
              </m:r>
            </m:sup>
            <m:e>
              <m:sSub>
                <m:e>
                  <m:r>
                    <m:rPr>
                      <m:sty m:val="p"/>
                    </m:rPr>
                    <m:t>softmax</m:t>
                  </m:r>
                </m:e>
                <m:sub>
                  <m:r>
                    <m:t>v</m:t>
                  </m:r>
                </m:sub>
              </m:sSub>
            </m:e>
          </m:nary>
          <m:d>
            <m:dPr>
              <m:begChr m:val="("/>
              <m:endChr m:val=")"/>
              <m:sepChr m:val=""/>
              <m:grow/>
            </m:dPr>
            <m:e>
              <m:f>
                <m:fPr>
                  <m:type m:val="bar"/>
                </m:fPr>
                <m:num>
                  <m:sSup>
                    <m:e>
                      <m:d>
                        <m:dPr>
                          <m:begChr m:val="("/>
                          <m:endChr m:val=")"/>
                          <m:sepChr m:val=""/>
                          <m:grow/>
                        </m:dPr>
                        <m:e>
                          <m:sSubSup>
                            <m:e>
                              <m:r>
                                <m:rPr>
                                  <m:sty m:val="b"/>
                                </m:rPr>
                                <m:t>q</m:t>
                              </m:r>
                            </m:e>
                            <m:sub>
                              <m:r>
                                <m:t>n</m:t>
                              </m:r>
                            </m:sub>
                            <m:sup>
                              <m:d>
                                <m:dPr>
                                  <m:begChr m:val="("/>
                                  <m:endChr m:val=")"/>
                                  <m:sepChr m:val=""/>
                                  <m:grow/>
                                </m:dPr>
                                <m:e>
                                  <m:r>
                                    <m:t>k</m:t>
                                  </m:r>
                                </m:e>
                              </m:d>
                            </m:sup>
                          </m:sSubSup>
                        </m:e>
                      </m:d>
                    </m:e>
                    <m:sup>
                      <m:r>
                        <m:rPr>
                          <m:sty m:val="p"/>
                        </m:rPr>
                        <m:t>⊤</m:t>
                      </m:r>
                    </m:sup>
                  </m:sSup>
                  <m:sSubSup>
                    <m:e>
                      <m:r>
                        <m:rPr>
                          <m:sty m:val="b"/>
                        </m:rPr>
                        <m:t>k</m:t>
                      </m:r>
                    </m:e>
                    <m:sub>
                      <m:r>
                        <m:t>n</m:t>
                      </m:r>
                      <m:r>
                        <m:rPr>
                          <m:sty m:val="p"/>
                        </m:rPr>
                        <m:t>,</m:t>
                      </m:r>
                      <m:r>
                        <m:t>v</m:t>
                      </m:r>
                    </m:sub>
                    <m:sup>
                      <m:d>
                        <m:dPr>
                          <m:begChr m:val="("/>
                          <m:endChr m:val=")"/>
                          <m:sepChr m:val=""/>
                          <m:grow/>
                        </m:dPr>
                        <m:e>
                          <m:r>
                            <m:t>k</m:t>
                          </m:r>
                        </m:e>
                      </m:d>
                    </m:sup>
                  </m:sSubSup>
                </m:num>
                <m:den>
                  <m:r>
                    <m:t>ξ</m:t>
                  </m:r>
                  <m:rad>
                    <m:radPr>
                      <m:degHide m:val="1"/>
                    </m:radPr>
                    <m:deg/>
                    <m:e>
                      <m:sSub>
                        <m:e>
                          <m:r>
                            <m:t>d</m:t>
                          </m:r>
                        </m:e>
                        <m:sub>
                          <m:r>
                            <m:t>k</m:t>
                          </m:r>
                        </m:sub>
                      </m:sSub>
                    </m:e>
                  </m:rad>
                </m:den>
              </m:f>
            </m:e>
          </m:d>
          <m:r>
            <m:rPr>
              <m:sty m:val="p"/>
            </m:rPr>
            <m:t>,</m:t>
          </m:r>
        </m:oMath>
      </m:oMathPara>
      <w:r>
        <w:tab/>
      </w:r>
      <w:r>
        <w:t>(15)</w:t>
      </w:r>
    </w:p>
    <w:p>
      <w:pPr>
        <w:pStyle w:val="FirstParagraph"/>
      </w:pPr>
      <w:r>
        <w:t xml:space="preserve">where</w:t>
      </w:r>
      <w:r>
        <w:t xml:space="preserve"> </w:t>
      </w:r>
      <m:oMath>
        <m:r>
          <m:t>K</m:t>
        </m:r>
      </m:oMath>
      <w:r>
        <w:t xml:space="preserve"> </w:t>
      </w:r>
      <w:r>
        <w:t xml:space="preserve">is the number of attention heads,</w:t>
      </w:r>
      <w:r>
        <w:t xml:space="preserve"> </w:t>
      </w:r>
      <m:oMath>
        <m:sSub>
          <m:e>
            <m:r>
              <m:t>d</m:t>
            </m:r>
          </m:e>
          <m:sub>
            <m:r>
              <m:t>k</m:t>
            </m:r>
          </m:sub>
        </m:sSub>
      </m:oMath>
      <w:r>
        <w:t xml:space="preserve"> </w:t>
      </w:r>
      <w:r>
        <w:t xml:space="preserve">is the dimension of each head, and</w:t>
      </w:r>
      <w:r>
        <w:t xml:space="preserve"> </w:t>
      </w:r>
      <m:oMath>
        <m:r>
          <m:t>ξ</m:t>
        </m:r>
        <m:r>
          <m:rPr>
            <m:sty m:val="p"/>
          </m:rPr>
          <m:t>&gt;</m:t>
        </m:r>
        <m:r>
          <m:t>0</m:t>
        </m:r>
      </m:oMath>
      <w:r>
        <w:t xml:space="preserve"> </w:t>
      </w:r>
      <w:r>
        <w:t xml:space="preserve">controls the sharpness of the attention distribution.</w:t>
      </w:r>
    </w:p>
    <w:p>
      <w:pPr>
        <w:pStyle w:val="19"/>
      </w:pPr>
      <w:r>
        <w:t xml:space="preserve">The fused representation and the final multi-omics representation of patient</w:t>
      </w:r>
      <w:r>
        <w:t xml:space="preserve"> </w:t>
      </w:r>
      <m:oMath>
        <m:r>
          <m:t>n</m:t>
        </m:r>
      </m:oMath>
      <w:r>
        <w:t xml:space="preserve"> </w:t>
      </w:r>
      <w:r>
        <w:t xml:space="preserve">are</w:t>
      </w:r>
    </w:p>
    <w:p>
      <w:pPr>
        <w:pStyle w:val="19"/>
        <w:tabs>
          <w:tab w:val="right" w:pos="9360"/>
        </w:tabs>
      </w:pPr>
      <m:oMathPara>
        <m:oMathParaPr>
          <m:jc m:val="center"/>
        </m:oMathParaPr>
        <m:oMath>
          <m:m>
            <m:mPr>
              <m:baseJc m:val="center"/>
              <m:plcHide m:val="1"/>
              <m:mcs>
                <m:mc>
                  <m:mcPr>
                    <m:mcJc m:val="right"/>
                    <m:count m:val="1"/>
                  </m:mcPr>
                </m:mc>
                <m:mc>
                  <m:mcPr>
                    <m:mcJc m:val="left"/>
                    <m:count m:val="1"/>
                  </m:mcPr>
                </m:mc>
              </m:mcs>
            </m:mPr>
            <m:mr>
              <m:e>
                <m:sSubSup>
                  <m:e>
                    <m:r>
                      <m:t>h</m:t>
                    </m:r>
                  </m:e>
                  <m:sub>
                    <m:r>
                      <m:t>n</m:t>
                    </m:r>
                  </m:sub>
                  <m:sup>
                    <m:r>
                      <m:t>F</m:t>
                    </m:r>
                  </m:sup>
                </m:sSubSup>
              </m:e>
              <m:e>
                <m:r>
                  <m:rPr>
                    <m:sty m:val="p"/>
                  </m:rPr>
                  <m:t>=</m:t>
                </m:r>
                <m:r>
                  <m:rPr>
                    <m:sty m:val="p"/>
                  </m:rPr>
                  <m:t>LN</m:t>
                </m:r>
                <m:d>
                  <m:dPr>
                    <m:begChr m:val="["/>
                    <m:endChr m:val="]"/>
                    <m:sepChr m:val=""/>
                    <m:grow/>
                  </m:dPr>
                  <m:e>
                    <m:sSub>
                      <m:e>
                        <m:r>
                          <m:t>W</m:t>
                        </m:r>
                      </m:e>
                      <m:sub>
                        <m:r>
                          <m:t>O</m:t>
                        </m:r>
                      </m:sub>
                    </m:sSub>
                    <m:d>
                      <m:dPr>
                        <m:begChr m:val="("/>
                        <m:endChr m:val=")"/>
                        <m:sepChr m:val=""/>
                        <m:grow/>
                      </m:dPr>
                      <m:e>
                        <m:nary>
                          <m:naryPr>
                            <m:chr m:val="∑"/>
                            <m:limLoc m:val="undOvr"/>
                            <m:subHide m:val="0"/>
                            <m:supHide m:val="0"/>
                          </m:naryPr>
                          <m:sub>
                            <m:r>
                              <m:t>v</m:t>
                            </m:r>
                            <m:r>
                              <m:rPr>
                                <m:sty m:val="p"/>
                              </m:rPr>
                              <m:t>=</m:t>
                            </m:r>
                            <m:r>
                              <m:t>1</m:t>
                            </m:r>
                          </m:sub>
                          <m:sup>
                            <m:r>
                              <m:t>V</m:t>
                            </m:r>
                          </m:sup>
                          <m:e>
                            <m:sSub>
                              <m:e>
                                <m:r>
                                  <m:t>α</m:t>
                                </m:r>
                              </m:e>
                              <m:sub>
                                <m:r>
                                  <m:t>n</m:t>
                                </m:r>
                                <m:r>
                                  <m:rPr>
                                    <m:sty m:val="p"/>
                                  </m:rPr>
                                  <m:t>,</m:t>
                                </m:r>
                                <m:r>
                                  <m:t>v</m:t>
                                </m:r>
                              </m:sub>
                            </m:sSub>
                          </m:e>
                        </m:nary>
                        <m:sSub>
                          <m:e>
                            <m:acc>
                              <m:accPr>
                                <m:chr m:val="̃"/>
                              </m:accPr>
                              <m:e>
                                <m:r>
                                  <m:t>h</m:t>
                                </m:r>
                              </m:e>
                            </m:acc>
                          </m:e>
                          <m:sub>
                            <m:r>
                              <m:t>n</m:t>
                            </m:r>
                            <m:r>
                              <m:rPr>
                                <m:sty m:val="p"/>
                              </m:rPr>
                              <m:t>,</m:t>
                            </m:r>
                            <m:r>
                              <m:t>v</m:t>
                            </m:r>
                          </m:sub>
                        </m:sSub>
                      </m:e>
                    </m:d>
                    <m:r>
                      <m:rPr>
                        <m:sty m:val="p"/>
                      </m:rPr>
                      <m:t>+</m:t>
                    </m:r>
                    <m:sSub>
                      <m:e>
                        <m:acc>
                          <m:accPr>
                            <m:chr m:val="‾"/>
                          </m:accPr>
                          <m:e>
                            <m:r>
                              <m:t>h</m:t>
                            </m:r>
                          </m:e>
                        </m:acc>
                      </m:e>
                      <m:sub>
                        <m:r>
                          <m:t>n</m:t>
                        </m:r>
                      </m:sub>
                    </m:sSub>
                  </m:e>
                </m:d>
                <m:r>
                  <m:rPr>
                    <m:sty m:val="p"/>
                  </m:rPr>
                  <m:t>,</m:t>
                </m:r>
              </m:e>
            </m:mr>
            <m:mr>
              <m:e>
                <m:sSub>
                  <m:e>
                    <m:r>
                      <m:t>r</m:t>
                    </m:r>
                  </m:e>
                  <m:sub>
                    <m:r>
                      <m:t>n</m:t>
                    </m:r>
                  </m:sub>
                </m:sSub>
              </m:e>
              <m:e>
                <m:r>
                  <m:rPr>
                    <m:sty m:val="p"/>
                  </m:rPr>
                  <m:t>=</m:t>
                </m:r>
                <m:r>
                  <m:rPr>
                    <m:sty m:val="p"/>
                  </m:rPr>
                  <m:t>Concat</m:t>
                </m:r>
                <m:d>
                  <m:dPr>
                    <m:begChr m:val="("/>
                    <m:endChr m:val=")"/>
                    <m:sepChr m:val=""/>
                    <m:grow/>
                  </m:dPr>
                  <m:e>
                    <m:sSub>
                      <m:e>
                        <m:r>
                          <m:t>h</m:t>
                        </m:r>
                      </m:e>
                      <m:sub>
                        <m:r>
                          <m:t>n</m:t>
                        </m:r>
                        <m:r>
                          <m:rPr>
                            <m:sty m:val="p"/>
                          </m:rPr>
                          <m:t>,</m:t>
                        </m:r>
                        <m:r>
                          <m:t>1</m:t>
                        </m:r>
                      </m:sub>
                    </m:sSub>
                    <m:r>
                      <m:rPr>
                        <m:sty m:val="p"/>
                      </m:rPr>
                      <m:t>,</m:t>
                    </m:r>
                    <m:sSub>
                      <m:e>
                        <m:r>
                          <m:t>h</m:t>
                        </m:r>
                      </m:e>
                      <m:sub>
                        <m:r>
                          <m:t>n</m:t>
                        </m:r>
                        <m:r>
                          <m:rPr>
                            <m:sty m:val="p"/>
                          </m:rPr>
                          <m:t>,</m:t>
                        </m:r>
                        <m:r>
                          <m:t>2</m:t>
                        </m:r>
                      </m:sub>
                    </m:sSub>
                    <m:r>
                      <m:rPr>
                        <m:sty m:val="p"/>
                      </m:rPr>
                      <m:t>,</m:t>
                    </m:r>
                    <m:r>
                      <m:rPr>
                        <m:sty m:val="p"/>
                      </m:rPr>
                      <m:t>…</m:t>
                    </m:r>
                    <m:r>
                      <m:rPr>
                        <m:sty m:val="p"/>
                      </m:rPr>
                      <m:t>,</m:t>
                    </m:r>
                    <m:sSub>
                      <m:e>
                        <m:r>
                          <m:t>h</m:t>
                        </m:r>
                      </m:e>
                      <m:sub>
                        <m:r>
                          <m:t>n</m:t>
                        </m:r>
                        <m:r>
                          <m:rPr>
                            <m:sty m:val="p"/>
                          </m:rPr>
                          <m:t>,</m:t>
                        </m:r>
                        <m:r>
                          <m:t>V</m:t>
                        </m:r>
                      </m:sub>
                    </m:sSub>
                    <m:r>
                      <m:rPr>
                        <m:sty m:val="p"/>
                      </m:rPr>
                      <m:t>,</m:t>
                    </m:r>
                    <m:sSubSup>
                      <m:e>
                        <m:r>
                          <m:t>h</m:t>
                        </m:r>
                      </m:e>
                      <m:sub>
                        <m:r>
                          <m:t>n</m:t>
                        </m:r>
                      </m:sub>
                      <m:sup>
                        <m:r>
                          <m:t>F</m:t>
                        </m:r>
                      </m:sup>
                    </m:sSubSup>
                  </m:e>
                </m:d>
                <m:r>
                  <m:rPr>
                    <m:sty m:val="p"/>
                  </m:rPr>
                  <m:t>,</m:t>
                </m:r>
              </m:e>
            </m:mr>
          </m:m>
        </m:oMath>
      </m:oMathPara>
      <w:r>
        <w:tab/>
      </w:r>
      <w:r>
        <w:t>(16)</w:t>
      </w:r>
    </w:p>
    <w:p>
      <w:pPr>
        <w:pStyle w:val="FirstParagraph"/>
      </w:pPr>
      <w:r>
        <w:t xml:space="preserve">where</w:t>
      </w:r>
      <w:r>
        <w:t xml:space="preserve"> </w:t>
      </w:r>
      <m:oMath>
        <m:sSub>
          <m:e>
            <m:r>
              <m:t>W</m:t>
            </m:r>
          </m:e>
          <m:sub>
            <m:r>
              <m:t>O</m:t>
            </m:r>
          </m:sub>
        </m:sSub>
      </m:oMath>
      <w:r>
        <w:t xml:space="preserve"> </w:t>
      </w:r>
      <w:r>
        <w:t xml:space="preserve">is the output projection and</w:t>
      </w:r>
      <w:r>
        <w:t xml:space="preserve"> </w:t>
      </w:r>
      <m:oMath>
        <m:r>
          <m:rPr>
            <m:sty m:val="p"/>
          </m:rPr>
          <m:t>LN</m:t>
        </m:r>
      </m:oMath>
      <w:r>
        <w:t xml:space="preserve"> </w:t>
      </w:r>
      <w:r>
        <w:t xml:space="preserve">denotes layer normalization. The same operation is applied to the enhanced view to obtain</w:t>
      </w:r>
      <w:r>
        <w:t xml:space="preserve"> </w:t>
      </w:r>
      <m:oMath>
        <m:sSub>
          <m:e>
            <m:acc>
              <m:accPr>
                <m:chr m:val="̂"/>
              </m:accPr>
              <m:e>
                <m:r>
                  <m:t>r</m:t>
                </m:r>
              </m:e>
            </m:acc>
          </m:e>
          <m:sub>
            <m:r>
              <m:t>n</m:t>
            </m:r>
          </m:sub>
        </m:sSub>
      </m:oMath>
      <w:r>
        <w:t xml:space="preserve">. The enhanced-view representation</w:t>
      </w:r>
      <w:r>
        <w:t xml:space="preserve"> </w:t>
      </w:r>
      <m:oMath>
        <m:sSub>
          <m:e>
            <m:acc>
              <m:accPr>
                <m:chr m:val="̂"/>
              </m:accPr>
              <m:e>
                <m:r>
                  <m:t>r</m:t>
                </m:r>
              </m:e>
            </m:acc>
          </m:e>
          <m:sub>
            <m:r>
              <m:t>n</m:t>
            </m:r>
          </m:sub>
        </m:sSub>
      </m:oMath>
      <w:r>
        <w:t xml:space="preserve"> </w:t>
      </w:r>
      <w:r>
        <w:t xml:space="preserve">is passed to the classifier, and the subtype weight</w:t>
      </w:r>
      <w:r>
        <w:t xml:space="preserve"> </w:t>
      </w:r>
      <m:oMath>
        <m:sSub>
          <m:e>
            <m:r>
              <m:t>w</m:t>
            </m:r>
          </m:e>
          <m:sub>
            <m:sSub>
              <m:e>
                <m:r>
                  <m:t>y</m:t>
                </m:r>
              </m:e>
              <m:sub>
                <m:r>
                  <m:t>n</m:t>
                </m:r>
              </m:sub>
            </m:sSub>
          </m:sub>
        </m:sSub>
      </m:oMath>
      <w:r>
        <w:t xml:space="preserve"> </w:t>
      </w:r>
      <w:r>
        <w:t xml:space="preserve">defined in Eq. (4) is incorporated into the cross-entropy loss</w:t>
      </w:r>
      <w:r>
        <w:t xml:space="preserve"> </w:t>
      </w:r>
      <m:oMath>
        <m:sSub>
          <m:e>
            <m:r>
              <m:rPr>
                <m:sty m:val="p"/>
                <m:scr m:val="script"/>
              </m:rPr>
              <m:t>L</m:t>
            </m:r>
          </m:e>
          <m:sub>
            <m:r>
              <m:rPr>
                <m:sty m:val="p"/>
              </m:rPr>
              <m:t>c</m:t>
            </m:r>
            <m:r>
              <m:rPr>
                <m:sty m:val="p"/>
              </m:rPr>
              <m:t>l</m:t>
            </m:r>
            <m:r>
              <m:rPr>
                <m:sty m:val="p"/>
              </m:rPr>
              <m:t>s</m:t>
            </m:r>
          </m:sub>
        </m:sSub>
      </m:oMath>
      <w:r>
        <w:t xml:space="preserve">.</w:t>
      </w:r>
    </w:p>
    <w:p>
      <w:pPr>
        <w:pStyle w:val="19"/>
      </w:pPr>
      <w:r>
        <w:t xml:space="preserve">The complete training objective is</w:t>
      </w:r>
    </w:p>
    <w:p>
      <w:pPr>
        <w:pStyle w:val="19"/>
        <w:tabs>
          <w:tab w:val="right" w:pos="9360"/>
        </w:tabs>
      </w:pPr>
      <m:oMathPara>
        <m:oMathParaPr>
          <m:jc m:val="center"/>
        </m:oMathParaPr>
        <m:oMath>
          <m:r>
            <m:rPr>
              <m:sty m:val="p"/>
              <m:scr m:val="script"/>
            </m:rPr>
            <m:t>L</m:t>
          </m:r>
          <m:r>
            <m:rPr>
              <m:sty m:val="p"/>
            </m:rPr>
            <m:t>=</m:t>
          </m:r>
          <m:sSub>
            <m:e>
              <m:r>
                <m:t>λ</m:t>
              </m:r>
            </m:e>
            <m:sub>
              <m:r>
                <m:rPr>
                  <m:sty m:val="p"/>
                </m:rPr>
                <m:t>c</m:t>
              </m:r>
              <m:r>
                <m:rPr>
                  <m:sty m:val="p"/>
                </m:rPr>
                <m:t>l</m:t>
              </m:r>
              <m:r>
                <m:rPr>
                  <m:sty m:val="p"/>
                </m:rPr>
                <m:t>s</m:t>
              </m:r>
            </m:sub>
          </m:sSub>
          <m:sSub>
            <m:e>
              <m:r>
                <m:rPr>
                  <m:sty m:val="p"/>
                  <m:scr m:val="script"/>
                </m:rPr>
                <m:t>L</m:t>
              </m:r>
            </m:e>
            <m:sub>
              <m:r>
                <m:rPr>
                  <m:sty m:val="p"/>
                </m:rPr>
                <m:t>c</m:t>
              </m:r>
              <m:r>
                <m:rPr>
                  <m:sty m:val="p"/>
                </m:rPr>
                <m:t>l</m:t>
              </m:r>
              <m:r>
                <m:rPr>
                  <m:sty m:val="p"/>
                </m:rPr>
                <m:t>s</m:t>
              </m:r>
            </m:sub>
          </m:sSub>
          <m:r>
            <m:rPr>
              <m:sty m:val="p"/>
            </m:rPr>
            <m:t>+</m:t>
          </m:r>
          <m:sSub>
            <m:e>
              <m:r>
                <m:t>λ</m:t>
              </m:r>
            </m:e>
            <m:sub>
              <m:r>
                <m:rPr>
                  <m:sty m:val="p"/>
                </m:rPr>
                <m:t>c</m:t>
              </m:r>
              <m:r>
                <m:rPr>
                  <m:sty m:val="p"/>
                </m:rPr>
                <m:t>o</m:t>
              </m:r>
              <m:r>
                <m:rPr>
                  <m:sty m:val="p"/>
                </m:rPr>
                <m:t>n</m:t>
              </m:r>
            </m:sub>
          </m:sSub>
          <m:sSub>
            <m:e>
              <m:r>
                <m:rPr>
                  <m:sty m:val="p"/>
                  <m:scr m:val="script"/>
                </m:rPr>
                <m:t>L</m:t>
              </m:r>
            </m:e>
            <m:sub>
              <m:r>
                <m:rPr>
                  <m:sty m:val="p"/>
                </m:rPr>
                <m:t>c</m:t>
              </m:r>
              <m:r>
                <m:rPr>
                  <m:sty m:val="p"/>
                </m:rPr>
                <m:t>o</m:t>
              </m:r>
              <m:r>
                <m:rPr>
                  <m:sty m:val="p"/>
                </m:rPr>
                <m:t>n</m:t>
              </m:r>
            </m:sub>
          </m:sSub>
          <m:r>
            <m:rPr>
              <m:sty m:val="p"/>
            </m:rPr>
            <m:t>,</m:t>
          </m:r>
        </m:oMath>
      </m:oMathPara>
      <w:r>
        <w:tab/>
      </w:r>
      <w:r>
        <w:t>(17)</w:t>
      </w:r>
    </w:p>
    <w:p>
      <w:pPr>
        <w:pStyle w:val="FirstParagraph"/>
      </w:pPr>
      <w:r>
        <w:t xml:space="preserve">where</w:t>
      </w:r>
      <w:r>
        <w:t xml:space="preserve"> </w:t>
      </w:r>
      <m:oMath>
        <m:sSub>
          <m:e>
            <m:r>
              <m:t>λ</m:t>
            </m:r>
          </m:e>
          <m:sub>
            <m:r>
              <m:rPr>
                <m:sty m:val="p"/>
              </m:rPr>
              <m:t>c</m:t>
            </m:r>
            <m:r>
              <m:rPr>
                <m:sty m:val="p"/>
              </m:rPr>
              <m:t>l</m:t>
            </m:r>
            <m:r>
              <m:rPr>
                <m:sty m:val="p"/>
              </m:rPr>
              <m:t>s</m:t>
            </m:r>
          </m:sub>
        </m:sSub>
      </m:oMath>
      <w:r>
        <w:t xml:space="preserve"> </w:t>
      </w:r>
      <w:r>
        <w:t xml:space="preserve">and</w:t>
      </w:r>
      <w:r>
        <w:t xml:space="preserve"> </w:t>
      </w:r>
      <m:oMath>
        <m:sSub>
          <m:e>
            <m:r>
              <m:t>λ</m:t>
            </m:r>
          </m:e>
          <m:sub>
            <m:r>
              <m:rPr>
                <m:sty m:val="p"/>
              </m:rPr>
              <m:t>c</m:t>
            </m:r>
            <m:r>
              <m:rPr>
                <m:sty m:val="p"/>
              </m:rPr>
              <m:t>o</m:t>
            </m:r>
            <m:r>
              <m:rPr>
                <m:sty m:val="p"/>
              </m:rPr>
              <m:t>n</m:t>
            </m:r>
          </m:sub>
        </m:sSub>
      </m:oMath>
      <w:r>
        <w:t xml:space="preserve"> </w:t>
      </w:r>
      <w:r>
        <w:t xml:space="preserve">control the contributions of subtype classification and cross-view alignment, respectively. Thus, CFC combines class-balanced supervision, augmentation-invariant representation learning, and patient-specific multi-omics fusion within a unified objective.</w:t>
      </w:r>
    </w:p>
    <w:bookmarkEnd w:id="27"/>
    <w:bookmarkEnd w:id="28"/>
    <w:bookmarkEnd w:id="29"/>
    <w:sectPr>
      <w:footerReference r:id="rId9" w:type="default"/>
      <w:pgSz w:h="15840" w:w="12240"/>
      <w:pgMar w:bottom="1440" w:footer="720" w:gutter="0" w:header="720" w:left="1440" w:right="1440" w:top="1440"/>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28"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12CED">
    <w:pPr>
      <w:pStyle w:val="24"/>
      <w:jc w:val="center"/>
    </w:pP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pos="1080" w:val="left"/>
        </w:tabs>
        <w:ind w:hanging="360" w:left="1080"/>
      </w:pPr>
    </w:lvl>
  </w:abstractNum>
  <w:abstractNum w:abstractNumId="1">
    <w:nsid w:val="FFFFFF7F"/>
    <w:multiLevelType w:val="singleLevel"/>
    <w:tmpl w:val="FFFFFF7F"/>
    <w:lvl w:ilvl="0" w:tentative="0">
      <w:start w:val="1"/>
      <w:numFmt w:val="decimal"/>
      <w:pStyle w:val="13"/>
      <w:lvlText w:val="%1."/>
      <w:lvlJc w:val="left"/>
      <w:pPr>
        <w:tabs>
          <w:tab w:pos="720" w:val="left"/>
        </w:tabs>
        <w:ind w:hanging="360" w:left="720"/>
      </w:pPr>
    </w:lvl>
  </w:abstractNum>
  <w:abstractNum w:abstractNumId="2">
    <w:nsid w:val="FFFFFF82"/>
    <w:multiLevelType w:val="singleLevel"/>
    <w:tmpl w:val="FFFFFF82"/>
    <w:lvl w:ilvl="0" w:tentative="0">
      <w:start w:val="1"/>
      <w:numFmt w:val="bullet"/>
      <w:pStyle w:val="18"/>
      <w:lvlText w:val=""/>
      <w:lvlJc w:val="left"/>
      <w:pPr>
        <w:tabs>
          <w:tab w:pos="1080" w:val="left"/>
        </w:tabs>
        <w:ind w:hanging="360" w:left="1080"/>
      </w:pPr>
      <w:rPr>
        <w:rFonts w:ascii="Symbol" w:hAnsi="Symbol" w:hint="default"/>
      </w:rPr>
    </w:lvl>
  </w:abstractNum>
  <w:abstractNum w:abstractNumId="3">
    <w:nsid w:val="FFFFFF83"/>
    <w:multiLevelType w:val="singleLevel"/>
    <w:tmpl w:val="FFFFFF83"/>
    <w:lvl w:ilvl="0" w:tentative="0">
      <w:start w:val="1"/>
      <w:numFmt w:val="bullet"/>
      <w:pStyle w:val="23"/>
      <w:lvlText w:val=""/>
      <w:lvlJc w:val="left"/>
      <w:pPr>
        <w:tabs>
          <w:tab w:pos="720" w:val="left"/>
        </w:tabs>
        <w:ind w:hanging="360" w:left="720"/>
      </w:pPr>
      <w:rPr>
        <w:rFonts w:ascii="Symbol" w:hAnsi="Symbol" w:hint="default"/>
      </w:rPr>
    </w:lvl>
  </w:abstractNum>
  <w:abstractNum w:abstractNumId="4">
    <w:nsid w:val="FFFFFF88"/>
    <w:multiLevelType w:val="singleLevel"/>
    <w:tmpl w:val="FFFFFF88"/>
    <w:lvl w:ilvl="0" w:tentative="0">
      <w:start w:val="1"/>
      <w:numFmt w:val="decimal"/>
      <w:pStyle w:val="14"/>
      <w:lvlText w:val="%1."/>
      <w:lvlJc w:val="left"/>
      <w:pPr>
        <w:tabs>
          <w:tab w:pos="360" w:val="left"/>
        </w:tabs>
        <w:ind w:hanging="360" w:left="360"/>
      </w:pPr>
    </w:lvl>
  </w:abstractNum>
  <w:abstractNum w:abstractNumId="5">
    <w:nsid w:val="FFFFFF89"/>
    <w:multiLevelType w:val="singleLevel"/>
    <w:tmpl w:val="FFFFFF89"/>
    <w:lvl w:ilvl="0" w:tentative="0">
      <w:start w:val="1"/>
      <w:numFmt w:val="bullet"/>
      <w:pStyle w:val="16"/>
      <w:lvlText w:val=""/>
      <w:lvlJc w:val="left"/>
      <w:pPr>
        <w:tabs>
          <w:tab w:pos="360" w:val="left"/>
        </w:tabs>
        <w:ind w:hanging="360" w:left="360"/>
      </w:pPr>
      <w:rPr>
        <w:rFonts w:ascii="Symbol" w:hAnsi="Symbol" w:hint="default"/>
      </w:rPr>
    </w:lvl>
  </w:abstractNum>
  <w:abstractNum w:abstractNumId="6">
    <w:nsid w:val="7E7AF099"/>
    <w:multiLevelType w:val="singleLevel"/>
    <w:tmpl w:val="7E7AF099"/>
    <w:lvl w:ilvl="0" w:tentative="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20"/>
  <w:defaultTabStop w:val="720"/>
  <w:displayHorizontalDrawingGridEvery w:val="1"/>
  <w:displayVerticalDrawingGridEvery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qFormat="1" w:semiHidden="0" w:uiPriority="99"/>
    <w:lsdException w:name="toa heading" w:uiPriority="99"/>
    <w:lsdException w:name="List" w:qFormat="1" w:semiHidden="0" w:uiPriority="99"/>
    <w:lsdException w:name="List Bullet" w:qFormat="1" w:semiHidden="0" w:uiPriority="99"/>
    <w:lsdException w:name="List Number" w:qFormat="1" w:semiHidden="0" w:uiPriority="99"/>
    <w:lsdException w:name="List 2" w:qFormat="1" w:semiHidden="0" w:uiPriority="99"/>
    <w:lsdException w:name="List 3" w:qFormat="1" w:semiHidden="0" w:uiPriority="99"/>
    <w:lsdException w:name="List 4" w:uiPriority="99"/>
    <w:lsdException w:name="List 5" w:uiPriority="99"/>
    <w:lsdException w:name="List Bullet 2" w:qFormat="1" w:semiHidden="0" w:uiPriority="99"/>
    <w:lsdException w:name="List Bullet 3" w:qFormat="1" w:semiHidden="0" w:uiPriority="99"/>
    <w:lsdException w:name="List Bullet 4" w:uiPriority="99"/>
    <w:lsdException w:name="List Bullet 5" w:uiPriority="99"/>
    <w:lsdException w:name="List Number 2" w:qFormat="1" w:semiHidden="0" w:uiPriority="99"/>
    <w:lsdException w:name="List Number 3" w:qFormat="1" w:semiHidden="0"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99"/>
    <w:lsdException w:name="Body Text Indent" w:uiPriority="99"/>
    <w:lsdException w:name="List Continue" w:qFormat="1" w:semiHidden="0" w:uiPriority="99"/>
    <w:lsdException w:name="List Continue 2" w:qFormat="1" w:semiHidden="0" w:uiPriority="99"/>
    <w:lsdException w:name="List Continue 3" w:qFormat="1" w:semiHidden="0"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qFormat="1" w:semiHidden="0" w:uiPriority="99"/>
    <w:lsdException w:name="Body Text 3" w:qFormat="1" w:semiHidden="0"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59" w:unhideWhenUsed="0"/>
    <w:lsdException w:name="Table Theme" w:uiPriority="99"/>
    <w:lsdException w:name="No Spacing" w:qFormat="1" w:semiHidden="0" w:uiPriority="1" w:unhideWhenUsed="0"/>
    <w:lsdException w:name="Light Shading" w:qFormat="1" w:semiHidden="0" w:uiPriority="60" w:unhideWhenUsed="0"/>
    <w:lsdException w:name="Light List" w:qFormat="1" w:semiHidden="0" w:uiPriority="61" w:unhideWhenUsed="0"/>
    <w:lsdException w:name="Light Grid" w:qFormat="1" w:semiHidden="0" w:uiPriority="62" w:unhideWhenUsed="0"/>
    <w:lsdException w:name="Medium Shading 1" w:qFormat="1" w:semiHidden="0" w:uiPriority="63" w:unhideWhenUsed="0"/>
    <w:lsdException w:name="Medium Shading 2" w:qFormat="1" w:semiHidden="0" w:uiPriority="64" w:unhideWhenUsed="0"/>
    <w:lsdException w:name="Medium List 1" w:qFormat="1" w:semiHidden="0" w:uiPriority="65" w:unhideWhenUsed="0"/>
    <w:lsdException w:name="Medium List 2" w:qFormat="1" w:semiHidden="0" w:uiPriority="66" w:unhideWhenUsed="0"/>
    <w:lsdException w:name="Medium Grid 1" w:qFormat="1" w:semiHidden="0" w:uiPriority="67" w:unhideWhenUsed="0"/>
    <w:lsdException w:name="Medium Grid 2" w:qFormat="1" w:semiHidden="0" w:uiPriority="68" w:unhideWhenUsed="0"/>
    <w:lsdException w:name="Medium Grid 3" w:qFormat="1" w:semiHidden="0" w:uiPriority="69" w:unhideWhenUsed="0"/>
    <w:lsdException w:name="Dark List" w:qFormat="1" w:semiHidden="0" w:uiPriority="70" w:unhideWhenUsed="0"/>
    <w:lsdException w:name="Colorful Shading" w:qFormat="1" w:semiHidden="0" w:uiPriority="71" w:unhideWhenUsed="0"/>
    <w:lsdException w:name="Colorful List" w:qFormat="1" w:semiHidden="0" w:uiPriority="72" w:unhideWhenUsed="0"/>
    <w:lsdException w:name="Colorful Grid" w:qFormat="1" w:semiHidden="0" w:uiPriority="73" w:unhideWhenUsed="0"/>
    <w:lsdException w:name="Light Shading Accent 1" w:qFormat="1" w:semiHidden="0" w:uiPriority="60" w:unhideWhenUsed="0"/>
    <w:lsdException w:name="Light List Accent 1" w:qFormat="1" w:semiHidden="0" w:uiPriority="61" w:unhideWhenUsed="0"/>
    <w:lsdException w:name="Light Grid Accent 1" w:qFormat="1" w:semiHidden="0" w:uiPriority="62" w:unhideWhenUsed="0"/>
    <w:lsdException w:name="Medium Shading 1 Accent 1" w:qFormat="1" w:semiHidden="0" w:uiPriority="63" w:unhideWhenUsed="0"/>
    <w:lsdException w:name="Medium Shading 2 Accent 1" w:qFormat="1" w:semiHidden="0" w:uiPriority="64" w:unhideWhenUsed="0"/>
    <w:lsdException w:name="Medium List 1 Accent 1" w:qFormat="1" w:semiHidden="0" w:uiPriority="65"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qFormat="1" w:semiHidden="0" w:uiPriority="66" w:unhideWhenUsed="0"/>
    <w:lsdException w:name="Medium Grid 1 Accent 1" w:qFormat="1" w:semiHidden="0" w:uiPriority="67" w:unhideWhenUsed="0"/>
    <w:lsdException w:name="Medium Grid 2 Accent 1" w:qFormat="1" w:semiHidden="0" w:uiPriority="68" w:unhideWhenUsed="0"/>
    <w:lsdException w:name="Medium Grid 3 Accent 1" w:qFormat="1" w:semiHidden="0" w:uiPriority="69" w:unhideWhenUsed="0"/>
    <w:lsdException w:name="Dark List Accent 1" w:qFormat="1" w:semiHidden="0" w:uiPriority="70" w:unhideWhenUsed="0"/>
    <w:lsdException w:name="Colorful Shading Accent 1" w:qFormat="1" w:semiHidden="0" w:uiPriority="71" w:unhideWhenUsed="0"/>
    <w:lsdException w:name="Colorful List Accent 1" w:qFormat="1" w:semiHidden="0" w:uiPriority="72" w:unhideWhenUsed="0"/>
    <w:lsdException w:name="Colorful Grid Accent 1" w:qFormat="1" w:semiHidden="0" w:uiPriority="73" w:unhideWhenUsed="0"/>
    <w:lsdException w:name="Light Shading Accent 2" w:qFormat="1" w:semiHidden="0" w:uiPriority="60" w:unhideWhenUsed="0"/>
    <w:lsdException w:name="Light List Accent 2" w:qFormat="1" w:semiHidden="0" w:uiPriority="61" w:unhideWhenUsed="0"/>
    <w:lsdException w:name="Light Grid Accent 2" w:qFormat="1" w:semiHidden="0" w:uiPriority="62" w:unhideWhenUsed="0"/>
    <w:lsdException w:name="Medium Shading 1 Accent 2" w:qFormat="1" w:semiHidden="0" w:uiPriority="63" w:unhideWhenUsed="0"/>
    <w:lsdException w:name="Medium Shading 2 Accent 2" w:qFormat="1" w:semiHidden="0" w:uiPriority="64" w:unhideWhenUsed="0"/>
    <w:lsdException w:name="Medium List 1 Accent 2" w:qFormat="1" w:semiHidden="0" w:uiPriority="65" w:unhideWhenUsed="0"/>
    <w:lsdException w:name="Medium List 2 Accent 2" w:qFormat="1" w:semiHidden="0" w:uiPriority="66" w:unhideWhenUsed="0"/>
    <w:lsdException w:name="Medium Grid 1 Accent 2" w:qFormat="1" w:semiHidden="0" w:uiPriority="67" w:unhideWhenUsed="0"/>
    <w:lsdException w:name="Medium Grid 2 Accent 2" w:qFormat="1" w:semiHidden="0" w:uiPriority="68" w:unhideWhenUsed="0"/>
    <w:lsdException w:name="Medium Grid 3 Accent 2" w:qFormat="1" w:semiHidden="0" w:uiPriority="69" w:unhideWhenUsed="0"/>
    <w:lsdException w:name="Dark List Accent 2" w:qFormat="1" w:semiHidden="0" w:uiPriority="70" w:unhideWhenUsed="0"/>
    <w:lsdException w:name="Colorful Shading Accent 2" w:qFormat="1" w:semiHidden="0" w:uiPriority="71" w:unhideWhenUsed="0"/>
    <w:lsdException w:name="Colorful List Accent 2" w:qFormat="1" w:semiHidden="0" w:uiPriority="72" w:unhideWhenUsed="0"/>
    <w:lsdException w:name="Colorful Grid Accent 2" w:qFormat="1" w:semiHidden="0" w:uiPriority="73" w:unhideWhenUsed="0"/>
    <w:lsdException w:name="Light Shading Accent 3" w:qFormat="1" w:semiHidden="0" w:uiPriority="60" w:unhideWhenUsed="0"/>
    <w:lsdException w:name="Light List Accent 3" w:qFormat="1" w:semiHidden="0" w:uiPriority="61" w:unhideWhenUsed="0"/>
    <w:lsdException w:name="Light Grid Accent 3" w:qFormat="1" w:semiHidden="0" w:uiPriority="62" w:unhideWhenUsed="0"/>
    <w:lsdException w:name="Medium Shading 1 Accent 3" w:qFormat="1" w:semiHidden="0" w:uiPriority="63" w:unhideWhenUsed="0"/>
    <w:lsdException w:name="Medium Shading 2 Accent 3" w:qFormat="1" w:semiHidden="0" w:uiPriority="64" w:unhideWhenUsed="0"/>
    <w:lsdException w:name="Medium List 1 Accent 3" w:qFormat="1" w:semiHidden="0" w:uiPriority="65" w:unhideWhenUsed="0"/>
    <w:lsdException w:name="Medium List 2 Accent 3" w:qFormat="1" w:semiHidden="0" w:uiPriority="66" w:unhideWhenUsed="0"/>
    <w:lsdException w:name="Medium Grid 1 Accent 3" w:qFormat="1" w:semiHidden="0" w:uiPriority="67" w:unhideWhenUsed="0"/>
    <w:lsdException w:name="Medium Grid 2 Accent 3" w:qFormat="1" w:semiHidden="0" w:uiPriority="68" w:unhideWhenUsed="0"/>
    <w:lsdException w:name="Medium Grid 3 Accent 3" w:qFormat="1" w:semiHidden="0" w:uiPriority="69" w:unhideWhenUsed="0"/>
    <w:lsdException w:name="Dark List Accent 3" w:qFormat="1" w:semiHidden="0" w:uiPriority="70" w:unhideWhenUsed="0"/>
    <w:lsdException w:name="Colorful Shading Accent 3" w:qFormat="1" w:semiHidden="0" w:uiPriority="71" w:unhideWhenUsed="0"/>
    <w:lsdException w:name="Colorful List Accent 3" w:qFormat="1" w:semiHidden="0" w:uiPriority="72" w:unhideWhenUsed="0"/>
    <w:lsdException w:name="Colorful Grid Accent 3" w:qFormat="1" w:semiHidden="0" w:uiPriority="73" w:unhideWhenUsed="0"/>
    <w:lsdException w:name="Light Shading Accent 4" w:qFormat="1" w:semiHidden="0" w:uiPriority="60" w:unhideWhenUsed="0"/>
    <w:lsdException w:name="Light List Accent 4" w:qFormat="1" w:semiHidden="0" w:uiPriority="61" w:unhideWhenUsed="0"/>
    <w:lsdException w:name="Light Grid Accent 4" w:qFormat="1" w:semiHidden="0" w:uiPriority="62" w:unhideWhenUsed="0"/>
    <w:lsdException w:name="Medium Shading 1 Accent 4" w:qFormat="1" w:semiHidden="0" w:uiPriority="63" w:unhideWhenUsed="0"/>
    <w:lsdException w:name="Medium Shading 2 Accent 4" w:qFormat="1" w:semiHidden="0" w:uiPriority="64" w:unhideWhenUsed="0"/>
    <w:lsdException w:name="Medium List 1 Accent 4" w:qFormat="1" w:semiHidden="0" w:uiPriority="65" w:unhideWhenUsed="0"/>
    <w:lsdException w:name="Medium List 2 Accent 4" w:qFormat="1" w:semiHidden="0" w:uiPriority="66" w:unhideWhenUsed="0"/>
    <w:lsdException w:name="Medium Grid 1 Accent 4" w:qFormat="1" w:semiHidden="0" w:uiPriority="67" w:unhideWhenUsed="0"/>
    <w:lsdException w:name="Medium Grid 2 Accent 4" w:qFormat="1" w:semiHidden="0" w:uiPriority="68" w:unhideWhenUsed="0"/>
    <w:lsdException w:name="Medium Grid 3 Accent 4" w:qFormat="1" w:semiHidden="0" w:uiPriority="69" w:unhideWhenUsed="0"/>
    <w:lsdException w:name="Dark List Accent 4" w:qFormat="1" w:semiHidden="0" w:uiPriority="70" w:unhideWhenUsed="0"/>
    <w:lsdException w:name="Colorful Shading Accent 4" w:qFormat="1" w:semiHidden="0" w:uiPriority="71" w:unhideWhenUsed="0"/>
    <w:lsdException w:name="Colorful List Accent 4" w:qFormat="1" w:semiHidden="0" w:uiPriority="72" w:unhideWhenUsed="0"/>
    <w:lsdException w:name="Colorful Grid Accent 4" w:qFormat="1" w:semiHidden="0" w:uiPriority="73" w:unhideWhenUsed="0"/>
    <w:lsdException w:name="Light Shading Accent 5" w:qFormat="1" w:semiHidden="0" w:uiPriority="60" w:unhideWhenUsed="0"/>
    <w:lsdException w:name="Light List Accent 5" w:qFormat="1" w:semiHidden="0" w:uiPriority="61" w:unhideWhenUsed="0"/>
    <w:lsdException w:name="Light Grid Accent 5" w:qFormat="1" w:semiHidden="0" w:uiPriority="62" w:unhideWhenUsed="0"/>
    <w:lsdException w:name="Medium Shading 1 Accent 5" w:qFormat="1" w:semiHidden="0" w:uiPriority="63" w:unhideWhenUsed="0"/>
    <w:lsdException w:name="Medium Shading 2 Accent 5" w:qFormat="1" w:semiHidden="0" w:uiPriority="64" w:unhideWhenUsed="0"/>
    <w:lsdException w:name="Medium List 1 Accent 5" w:qFormat="1" w:semiHidden="0" w:uiPriority="65" w:unhideWhenUsed="0"/>
    <w:lsdException w:name="Medium List 2 Accent 5" w:qFormat="1" w:semiHidden="0" w:uiPriority="66" w:unhideWhenUsed="0"/>
    <w:lsdException w:name="Medium Grid 1 Accent 5" w:qFormat="1" w:semiHidden="0" w:uiPriority="67" w:unhideWhenUsed="0"/>
    <w:lsdException w:name="Medium Grid 2 Accent 5" w:qFormat="1" w:semiHidden="0" w:uiPriority="68" w:unhideWhenUsed="0"/>
    <w:lsdException w:name="Medium Grid 3 Accent 5" w:qFormat="1" w:semiHidden="0" w:uiPriority="69" w:unhideWhenUsed="0"/>
    <w:lsdException w:name="Dark List Accent 5" w:qFormat="1" w:semiHidden="0" w:uiPriority="70" w:unhideWhenUsed="0"/>
    <w:lsdException w:name="Colorful Shading Accent 5" w:qFormat="1" w:semiHidden="0" w:uiPriority="71" w:unhideWhenUsed="0"/>
    <w:lsdException w:name="Colorful List Accent 5" w:qFormat="1" w:semiHidden="0" w:uiPriority="72" w:unhideWhenUsed="0"/>
    <w:lsdException w:name="Colorful Grid Accent 5" w:qFormat="1" w:semiHidden="0" w:uiPriority="73" w:unhideWhenUsed="0"/>
    <w:lsdException w:name="Light Shading Accent 6" w:qFormat="1" w:semiHidden="0" w:uiPriority="60" w:unhideWhenUsed="0"/>
    <w:lsdException w:name="Light List Accent 6" w:qFormat="1" w:semiHidden="0" w:uiPriority="61" w:unhideWhenUsed="0"/>
    <w:lsdException w:name="Light Grid Accent 6" w:qFormat="1" w:semiHidden="0" w:uiPriority="62" w:unhideWhenUsed="0"/>
    <w:lsdException w:name="Medium Shading 1 Accent 6" w:qFormat="1" w:semiHidden="0" w:uiPriority="63" w:unhideWhenUsed="0"/>
    <w:lsdException w:name="Medium Shading 2 Accent 6" w:qFormat="1" w:semiHidden="0" w:uiPriority="64" w:unhideWhenUsed="0"/>
    <w:lsdException w:name="Medium List 1 Accent 6" w:qFormat="1" w:semiHidden="0" w:uiPriority="65" w:unhideWhenUsed="0"/>
    <w:lsdException w:name="Medium List 2 Accent 6" w:qFormat="1" w:semiHidden="0" w:uiPriority="66" w:unhideWhenUsed="0"/>
    <w:lsdException w:name="Medium Grid 1 Accent 6" w:qFormat="1" w:semiHidden="0" w:uiPriority="67" w:unhideWhenUsed="0"/>
    <w:lsdException w:name="Medium Grid 2 Accent 6" w:qFormat="1" w:semiHidden="0" w:uiPriority="68" w:unhideWhenUsed="0"/>
    <w:lsdException w:name="Medium Grid 3 Accent 6" w:qFormat="1" w:semiHidden="0" w:uiPriority="69" w:unhideWhenUsed="0"/>
    <w:lsdException w:name="Dark List Accent 6" w:qFormat="1" w:semiHidden="0" w:uiPriority="70" w:unhideWhenUsed="0"/>
    <w:lsdException w:name="Colorful Shading Accent 6" w:qFormat="1" w:semiHidden="0" w:uiPriority="71" w:unhideWhenUsed="0"/>
    <w:lsdException w:name="Colorful List Accent 6" w:qFormat="1" w:semiHidden="0" w:uiPriority="72" w:unhideWhenUsed="0"/>
    <w:lsdException w:name="Colorful Grid Accent 6" w:qFormat="1" w:semiHidden="0" w:uiPriority="73" w:unhideWhenUsed="0"/>
  </w:latentStyles>
  <w:style w:default="1" w:styleId="1" w:type="paragraph">
    <w:name w:val="Normal"/>
    <w:qFormat/>
    <w:uiPriority w:val="0"/>
    <w:pPr>
      <w:spacing w:after="120" w:line="276" w:lineRule="auto"/>
    </w:pPr>
    <w:rPr>
      <w:rFonts w:ascii="Times New Roman" w:cstheme="minorBidi" w:eastAsia="Times New Roman" w:hAnsi="Times New Roman"/>
      <w:sz w:val="24"/>
      <w:szCs w:val="22"/>
      <w:lang w:bidi="ar-SA" w:eastAsia="en-US" w:val="en-US"/>
    </w:rPr>
  </w:style>
  <w:style w:styleId="3" w:type="paragraph">
    <w:name w:val="heading 1"/>
    <w:basedOn w:val="1"/>
    <w:next w:val="1"/>
    <w:link w:val="139"/>
    <w:qFormat/>
    <w:uiPriority w:val="9"/>
    <w:pPr>
      <w:keepNext/>
      <w:keepLines/>
      <w:spacing w:after="0" w:before="480"/>
      <w:outlineLvl w:val="0"/>
    </w:pPr>
    <w:rPr>
      <w:rFonts w:asciiTheme="majorHAnsi" w:cstheme="majorBidi" w:eastAsiaTheme="majorEastAsia" w:hAnsiTheme="majorHAnsi"/>
      <w:b/>
      <w:bCs/>
      <w:color w:themeColor="accent1" w:themeShade="BF" w:val="376092"/>
      <w:sz w:val="32"/>
      <w:szCs w:val="28"/>
    </w:rPr>
  </w:style>
  <w:style w:styleId="4" w:type="paragraph">
    <w:name w:val="heading 2"/>
    <w:basedOn w:val="1"/>
    <w:next w:val="1"/>
    <w:link w:val="140"/>
    <w:unhideWhenUsed/>
    <w:qFormat/>
    <w:uiPriority w:val="9"/>
    <w:pPr>
      <w:keepNext/>
      <w:keepLines/>
      <w:spacing w:after="0" w:before="200"/>
      <w:outlineLvl w:val="1"/>
    </w:pPr>
    <w:rPr>
      <w:rFonts w:asciiTheme="majorHAnsi" w:cstheme="majorBidi" w:eastAsiaTheme="majorEastAsia" w:hAnsiTheme="majorHAnsi"/>
      <w:b/>
      <w:bCs/>
      <w:color w:themeColor="accent1" w:val="4F81BD"/>
      <w:sz w:val="28"/>
      <w:szCs w:val="26"/>
      <w14:textFill>
        <w14:solidFill>
          <w14:schemeClr w14:val="accent1"/>
        </w14:solidFill>
      </w14:textFill>
    </w:rPr>
  </w:style>
  <w:style w:styleId="5" w:type="paragraph">
    <w:name w:val="heading 3"/>
    <w:basedOn w:val="1"/>
    <w:next w:val="1"/>
    <w:link w:val="141"/>
    <w:unhideWhenUsed/>
    <w:qFormat/>
    <w:uiPriority w:val="9"/>
    <w:pPr>
      <w:keepNext/>
      <w:keepLines/>
      <w:spacing w:after="0" w:before="200"/>
      <w:outlineLvl w:val="2"/>
    </w:pPr>
    <w:rPr>
      <w:rFonts w:asciiTheme="majorHAnsi" w:cstheme="majorBidi" w:eastAsiaTheme="majorEastAsia" w:hAnsiTheme="majorHAnsi"/>
      <w:b/>
      <w:bCs/>
      <w:color w:themeColor="accent1" w:val="4F81BD"/>
      <w:sz w:val="24"/>
      <w14:textFill>
        <w14:solidFill>
          <w14:schemeClr w14:val="accent1"/>
        </w14:solidFill>
      </w14:textFill>
    </w:rPr>
  </w:style>
  <w:style w:styleId="6" w:type="paragraph">
    <w:name w:val="heading 4"/>
    <w:basedOn w:val="1"/>
    <w:next w:val="1"/>
    <w:link w:val="151"/>
    <w:semiHidden/>
    <w:unhideWhenUsed/>
    <w:qFormat/>
    <w:uiPriority w:val="9"/>
    <w:pPr>
      <w:keepNext/>
      <w:keepLines/>
      <w:spacing w:after="0" w:before="200"/>
      <w:outlineLvl w:val="3"/>
    </w:pPr>
    <w:rPr>
      <w:rFonts w:asciiTheme="majorHAnsi" w:cstheme="majorBidi" w:eastAsiaTheme="majorEastAsia" w:hAnsiTheme="majorHAnsi"/>
      <w:b/>
      <w:bCs/>
      <w:i/>
      <w:iCs/>
      <w:color w:themeColor="accent1" w:val="4F81BD"/>
      <w14:textFill>
        <w14:solidFill>
          <w14:schemeClr w14:val="accent1"/>
        </w14:solidFill>
      </w14:textFill>
    </w:rPr>
  </w:style>
  <w:style w:styleId="7" w:type="paragraph">
    <w:name w:val="heading 5"/>
    <w:basedOn w:val="1"/>
    <w:next w:val="1"/>
    <w:link w:val="152"/>
    <w:semiHidden/>
    <w:unhideWhenUsed/>
    <w:qFormat/>
    <w:uiPriority w:val="9"/>
    <w:pPr>
      <w:keepNext/>
      <w:keepLines/>
      <w:spacing w:after="0" w:before="200"/>
      <w:outlineLvl w:val="4"/>
    </w:pPr>
    <w:rPr>
      <w:rFonts w:asciiTheme="majorHAnsi" w:cstheme="majorBidi" w:eastAsiaTheme="majorEastAsia" w:hAnsiTheme="majorHAnsi"/>
      <w:color w:themeColor="accent1" w:themeShade="80" w:val="254061"/>
    </w:rPr>
  </w:style>
  <w:style w:styleId="8" w:type="paragraph">
    <w:name w:val="heading 6"/>
    <w:basedOn w:val="1"/>
    <w:next w:val="1"/>
    <w:link w:val="153"/>
    <w:semiHidden/>
    <w:unhideWhenUsed/>
    <w:qFormat/>
    <w:uiPriority w:val="9"/>
    <w:pPr>
      <w:keepNext/>
      <w:keepLines/>
      <w:spacing w:after="0" w:before="200"/>
      <w:outlineLvl w:val="5"/>
    </w:pPr>
    <w:rPr>
      <w:rFonts w:asciiTheme="majorHAnsi" w:cstheme="majorBidi" w:eastAsiaTheme="majorEastAsia" w:hAnsiTheme="majorHAnsi"/>
      <w:i/>
      <w:iCs/>
      <w:color w:themeColor="accent1" w:themeShade="80" w:val="254061"/>
    </w:rPr>
  </w:style>
  <w:style w:styleId="9" w:type="paragraph">
    <w:name w:val="heading 7"/>
    <w:basedOn w:val="1"/>
    <w:next w:val="1"/>
    <w:link w:val="154"/>
    <w:semiHidden/>
    <w:unhideWhenUsed/>
    <w:qFormat/>
    <w:uiPriority w:val="9"/>
    <w:pPr>
      <w:keepNext/>
      <w:keepLines/>
      <w:spacing w:after="0" w:before="200"/>
      <w:outlineLvl w:val="6"/>
    </w:pPr>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styleId="10" w:type="paragraph">
    <w:name w:val="heading 8"/>
    <w:basedOn w:val="1"/>
    <w:next w:val="1"/>
    <w:link w:val="155"/>
    <w:semiHidden/>
    <w:unhideWhenUsed/>
    <w:qFormat/>
    <w:uiPriority w:val="9"/>
    <w:pPr>
      <w:keepNext/>
      <w:keepLines/>
      <w:spacing w:after="0" w:before="200"/>
      <w:outlineLvl w:val="7"/>
    </w:pPr>
    <w:rPr>
      <w:rFonts w:asciiTheme="majorHAnsi" w:cstheme="majorBidi" w:eastAsiaTheme="majorEastAsia" w:hAnsiTheme="majorHAnsi"/>
      <w:color w:themeColor="accent1" w:val="4F81BD"/>
      <w:sz w:val="20"/>
      <w:szCs w:val="20"/>
      <w14:textFill>
        <w14:solidFill>
          <w14:schemeClr w14:val="accent1"/>
        </w14:solidFill>
      </w14:textFill>
    </w:rPr>
  </w:style>
  <w:style w:styleId="11" w:type="paragraph">
    <w:name w:val="heading 9"/>
    <w:basedOn w:val="1"/>
    <w:next w:val="1"/>
    <w:link w:val="156"/>
    <w:semiHidden/>
    <w:unhideWhenUsed/>
    <w:qFormat/>
    <w:uiPriority w:val="9"/>
    <w:pPr>
      <w:keepNext/>
      <w:keepLines/>
      <w:spacing w:after="0" w:before="200"/>
      <w:outlineLvl w:val="8"/>
    </w:pPr>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default="1" w:styleId="133" w:type="character">
    <w:name w:val="Default Paragraph Font"/>
    <w:semiHidden/>
    <w:unhideWhenUsed/>
    <w:qFormat/>
    <w:uiPriority w:val="1"/>
  </w:style>
  <w:style w:default="1" w:styleId="33" w:type="table">
    <w:name w:val="Normal Table"/>
    <w:semiHidden/>
    <w:unhideWhenUsed/>
    <w:qFormat/>
    <w:uiPriority w:val="99"/>
    <w:tblPr>
      <w:tblCellMar>
        <w:top w:type="dxa" w:w="0"/>
        <w:left w:type="dxa" w:w="108"/>
        <w:bottom w:type="dxa" w:w="0"/>
        <w:right w:type="dxa" w:w="108"/>
      </w:tblCellMar>
    </w:tblPr>
  </w:style>
  <w:style w:styleId="2" w:type="paragraph">
    <w:name w:val="macro"/>
    <w:link w:val="148"/>
    <w:unhideWhenUsed/>
    <w:qFormat/>
    <w:uiPriority w:val="99"/>
    <w:pPr>
      <w:tabs>
        <w:tab w:pos="576" w:val="left"/>
        <w:tab w:pos="1152" w:val="left"/>
        <w:tab w:pos="1728" w:val="left"/>
        <w:tab w:pos="2304" w:val="left"/>
        <w:tab w:pos="2880" w:val="left"/>
        <w:tab w:pos="3456" w:val="left"/>
        <w:tab w:pos="4032" w:val="left"/>
      </w:tabs>
      <w:spacing w:after="200" w:line="276" w:lineRule="auto"/>
    </w:pPr>
    <w:rPr>
      <w:rFonts w:ascii="Courier" w:cstheme="minorBidi" w:eastAsiaTheme="minorEastAsia" w:hAnsi="Courier"/>
      <w:sz w:val="20"/>
      <w:szCs w:val="20"/>
      <w:lang w:bidi="ar-SA" w:eastAsia="en-US" w:val="en-US"/>
    </w:rPr>
  </w:style>
  <w:style w:styleId="12" w:type="paragraph">
    <w:name w:val="List 3"/>
    <w:basedOn w:val="1"/>
    <w:unhideWhenUsed/>
    <w:qFormat/>
    <w:uiPriority w:val="99"/>
    <w:pPr>
      <w:ind w:hanging="360" w:left="1080"/>
      <w:contextualSpacing/>
    </w:pPr>
  </w:style>
  <w:style w:styleId="13" w:type="paragraph">
    <w:name w:val="List Number 2"/>
    <w:basedOn w:val="1"/>
    <w:unhideWhenUsed/>
    <w:qFormat/>
    <w:uiPriority w:val="99"/>
    <w:pPr>
      <w:numPr>
        <w:ilvl w:val="0"/>
        <w:numId w:val="1"/>
      </w:numPr>
      <w:contextualSpacing/>
    </w:pPr>
  </w:style>
  <w:style w:styleId="14" w:type="paragraph">
    <w:name w:val="List Number"/>
    <w:basedOn w:val="1"/>
    <w:unhideWhenUsed/>
    <w:qFormat/>
    <w:uiPriority w:val="99"/>
    <w:pPr>
      <w:numPr>
        <w:ilvl w:val="0"/>
        <w:numId w:val="2"/>
      </w:numPr>
      <w:contextualSpacing/>
    </w:pPr>
  </w:style>
  <w:style w:styleId="15" w:type="paragraph">
    <w:name w:val="caption"/>
    <w:basedOn w:val="1"/>
    <w:next w:val="1"/>
    <w:semiHidden/>
    <w:unhideWhenUsed/>
    <w:qFormat/>
    <w:uiPriority w:val="35"/>
    <w:pPr>
      <w:spacing w:line="240" w:lineRule="auto"/>
    </w:pPr>
    <w:rPr>
      <w:b/>
      <w:bCs/>
      <w:color w:themeColor="accent1" w:val="4F81BD"/>
      <w:sz w:val="18"/>
      <w:szCs w:val="18"/>
      <w14:textFill>
        <w14:solidFill>
          <w14:schemeClr w14:val="accent1"/>
        </w14:solidFill>
      </w14:textFill>
    </w:rPr>
  </w:style>
  <w:style w:styleId="16" w:type="paragraph">
    <w:name w:val="List Bullet"/>
    <w:basedOn w:val="1"/>
    <w:unhideWhenUsed/>
    <w:qFormat/>
    <w:uiPriority w:val="99"/>
    <w:pPr>
      <w:numPr>
        <w:ilvl w:val="0"/>
        <w:numId w:val="3"/>
      </w:numPr>
      <w:contextualSpacing/>
    </w:pPr>
  </w:style>
  <w:style w:styleId="17" w:type="paragraph">
    <w:name w:val="Body Text 3"/>
    <w:basedOn w:val="1"/>
    <w:link w:val="147"/>
    <w:unhideWhenUsed/>
    <w:qFormat/>
    <w:uiPriority w:val="99"/>
    <w:pPr>
      <w:spacing w:after="120"/>
    </w:pPr>
    <w:rPr>
      <w:sz w:val="16"/>
      <w:szCs w:val="16"/>
    </w:rPr>
  </w:style>
  <w:style w:styleId="18" w:type="paragraph">
    <w:name w:val="List Bullet 3"/>
    <w:basedOn w:val="1"/>
    <w:unhideWhenUsed/>
    <w:qFormat/>
    <w:uiPriority w:val="99"/>
    <w:pPr>
      <w:numPr>
        <w:ilvl w:val="0"/>
        <w:numId w:val="4"/>
      </w:numPr>
      <w:contextualSpacing/>
    </w:pPr>
  </w:style>
  <w:style w:styleId="19" w:type="paragraph">
    <w:name w:val="Body Text"/>
    <w:basedOn w:val="1"/>
    <w:link w:val="145"/>
    <w:unhideWhenUsed/>
    <w:qFormat/>
    <w:uiPriority w:val="99"/>
    <w:pPr>
      <w:spacing w:after="120"/>
    </w:pPr>
  </w:style>
  <w:style w:styleId="20" w:type="paragraph">
    <w:name w:val="List Number 3"/>
    <w:basedOn w:val="1"/>
    <w:unhideWhenUsed/>
    <w:qFormat/>
    <w:uiPriority w:val="99"/>
    <w:pPr>
      <w:numPr>
        <w:ilvl w:val="0"/>
        <w:numId w:val="5"/>
      </w:numPr>
      <w:contextualSpacing/>
    </w:pPr>
  </w:style>
  <w:style w:styleId="21" w:type="paragraph">
    <w:name w:val="List 2"/>
    <w:basedOn w:val="1"/>
    <w:unhideWhenUsed/>
    <w:qFormat/>
    <w:uiPriority w:val="99"/>
    <w:pPr>
      <w:ind w:hanging="360" w:left="720"/>
      <w:contextualSpacing/>
    </w:pPr>
  </w:style>
  <w:style w:styleId="22" w:type="paragraph">
    <w:name w:val="List Continue"/>
    <w:basedOn w:val="1"/>
    <w:unhideWhenUsed/>
    <w:qFormat/>
    <w:uiPriority w:val="99"/>
    <w:pPr>
      <w:spacing w:after="120"/>
      <w:ind w:left="360"/>
      <w:contextualSpacing/>
    </w:pPr>
  </w:style>
  <w:style w:styleId="23" w:type="paragraph">
    <w:name w:val="List Bullet 2"/>
    <w:basedOn w:val="1"/>
    <w:unhideWhenUsed/>
    <w:qFormat/>
    <w:uiPriority w:val="99"/>
    <w:pPr>
      <w:numPr>
        <w:ilvl w:val="0"/>
        <w:numId w:val="6"/>
      </w:numPr>
      <w:contextualSpacing/>
    </w:pPr>
  </w:style>
  <w:style w:styleId="24" w:type="paragraph">
    <w:name w:val="footer"/>
    <w:basedOn w:val="1"/>
    <w:link w:val="137"/>
    <w:unhideWhenUsed/>
    <w:qFormat/>
    <w:uiPriority w:val="99"/>
    <w:pPr>
      <w:tabs>
        <w:tab w:pos="4680" w:val="center"/>
        <w:tab w:pos="9360" w:val="right"/>
      </w:tabs>
      <w:spacing w:after="0" w:line="240" w:lineRule="auto"/>
    </w:pPr>
  </w:style>
  <w:style w:styleId="25" w:type="paragraph">
    <w:name w:val="header"/>
    <w:basedOn w:val="1"/>
    <w:link w:val="136"/>
    <w:unhideWhenUsed/>
    <w:qFormat/>
    <w:uiPriority w:val="99"/>
    <w:pPr>
      <w:tabs>
        <w:tab w:pos="4680" w:val="center"/>
        <w:tab w:pos="9360" w:val="right"/>
      </w:tabs>
      <w:spacing w:after="0" w:line="240" w:lineRule="auto"/>
    </w:pPr>
  </w:style>
  <w:style w:styleId="26" w:type="paragraph">
    <w:name w:val="Subtitle"/>
    <w:basedOn w:val="1"/>
    <w:next w:val="1"/>
    <w:link w:val="143"/>
    <w:qFormat/>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27" w:type="paragraph">
    <w:name w:val="List"/>
    <w:basedOn w:val="1"/>
    <w:unhideWhenUsed/>
    <w:qFormat/>
    <w:uiPriority w:val="99"/>
    <w:pPr>
      <w:ind w:hanging="360" w:left="360"/>
      <w:contextualSpacing/>
    </w:pPr>
  </w:style>
  <w:style w:styleId="28" w:type="paragraph">
    <w:name w:val="Body Text 2"/>
    <w:basedOn w:val="1"/>
    <w:link w:val="146"/>
    <w:unhideWhenUsed/>
    <w:qFormat/>
    <w:uiPriority w:val="99"/>
    <w:pPr>
      <w:spacing w:after="120" w:line="480" w:lineRule="auto"/>
    </w:pPr>
  </w:style>
  <w:style w:styleId="29" w:type="paragraph">
    <w:name w:val="List Continue 2"/>
    <w:basedOn w:val="1"/>
    <w:unhideWhenUsed/>
    <w:qFormat/>
    <w:uiPriority w:val="99"/>
    <w:pPr>
      <w:spacing w:after="120"/>
      <w:ind w:left="720"/>
      <w:contextualSpacing/>
    </w:pPr>
  </w:style>
  <w:style w:styleId="30" w:type="paragraph">
    <w:name w:val="Normal (Web)"/>
    <w:basedOn w:val="1"/>
    <w:semiHidden/>
    <w:unhideWhenUsed/>
    <w:qFormat/>
    <w:uiPriority w:val="99"/>
    <w:pPr>
      <w:spacing w:after="0" w:afterAutospacing="1" w:before="0" w:beforeAutospacing="1"/>
      <w:ind w:left="0" w:right="0"/>
      <w:jc w:val="left"/>
    </w:pPr>
    <w:rPr>
      <w:kern w:val="0"/>
      <w:sz w:val="24"/>
      <w:lang w:bidi="ar" w:eastAsia="zh-CN" w:val="en-US"/>
    </w:rPr>
  </w:style>
  <w:style w:styleId="31" w:type="paragraph">
    <w:name w:val="List Continue 3"/>
    <w:basedOn w:val="1"/>
    <w:unhideWhenUsed/>
    <w:qFormat/>
    <w:uiPriority w:val="99"/>
    <w:pPr>
      <w:spacing w:after="120"/>
      <w:ind w:left="1080"/>
      <w:contextualSpacing/>
    </w:pPr>
  </w:style>
  <w:style w:styleId="32" w:type="paragraph">
    <w:name w:val="Title"/>
    <w:basedOn w:val="1"/>
    <w:next w:val="1"/>
    <w:link w:val="142"/>
    <w:qFormat/>
    <w:uiPriority w:val="10"/>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75E"/>
      <w:spacing w:val="5"/>
      <w:kern w:val="28"/>
      <w:sz w:val="52"/>
      <w:szCs w:val="52"/>
    </w:rPr>
  </w:style>
  <w:style w:styleId="34" w:type="table">
    <w:name w:val="Table Grid"/>
    <w:basedOn w:val="33"/>
    <w:qFormat/>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35" w:type="table">
    <w:name w:val="Light Shading"/>
    <w:basedOn w:val="33"/>
    <w:qFormat/>
    <w:uiPriority w:val="60"/>
    <w:pPr>
      <w:spacing w:after="0" w:line="240" w:lineRule="auto"/>
    </w:pPr>
    <w:rPr>
      <w:color w:themeColor="text1" w:themeShade="BF" w:val="000000"/>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left w:val="nil"/>
          <w:right w:val="nil"/>
          <w:insideH w:val="nil"/>
          <w:insideV w:val="nil"/>
        </w:tcBorders>
        <w:shd w:color="auto" w:fill="BFBFBF" w:themeFill="text1" w:themeFillTint="3F" w:val="clear"/>
      </w:tcPr>
    </w:tblStylePr>
  </w:style>
  <w:style w:styleId="36" w:type="table">
    <w:name w:val="Light Shading Accent 1"/>
    <w:basedOn w:val="33"/>
    <w:qFormat/>
    <w:uiPriority w:val="60"/>
    <w:pPr>
      <w:spacing w:after="0" w:line="240" w:lineRule="auto"/>
    </w:pPr>
    <w:rPr>
      <w:color w:themeColor="accent1" w:themeShade="BF" w:val="376092"/>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37" w:type="table">
    <w:name w:val="Light Shading Accent 2"/>
    <w:basedOn w:val="33"/>
    <w:qFormat/>
    <w:uiPriority w:val="60"/>
    <w:pPr>
      <w:spacing w:after="0" w:line="240" w:lineRule="auto"/>
    </w:pPr>
    <w:rPr>
      <w:color w:themeColor="accent2" w:themeShade="BF" w:val="953735"/>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left w:val="nil"/>
          <w:right w:val="nil"/>
          <w:insideH w:val="nil"/>
          <w:insideV w:val="nil"/>
        </w:tcBorders>
        <w:shd w:color="auto" w:fill="EFD3D3" w:themeFill="accent2" w:themeFillTint="3F" w:val="clear"/>
      </w:tcPr>
    </w:tblStylePr>
  </w:style>
  <w:style w:styleId="38" w:type="table">
    <w:name w:val="Light Shading Accent 3"/>
    <w:basedOn w:val="33"/>
    <w:qFormat/>
    <w:uiPriority w:val="60"/>
    <w:pPr>
      <w:spacing w:after="0" w:line="240" w:lineRule="auto"/>
    </w:pPr>
    <w:rPr>
      <w:color w:themeColor="accent3" w:themeShade="BF" w:val="77933C"/>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39" w:type="table">
    <w:name w:val="Light Shading Accent 4"/>
    <w:basedOn w:val="33"/>
    <w:qFormat/>
    <w:uiPriority w:val="60"/>
    <w:pPr>
      <w:spacing w:after="0" w:line="240" w:lineRule="auto"/>
    </w:pPr>
    <w:rPr>
      <w:color w:themeColor="accent4" w:themeShade="BF" w:val="604A7B"/>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40" w:type="table">
    <w:name w:val="Light Shading Accent 5"/>
    <w:basedOn w:val="33"/>
    <w:qFormat/>
    <w:uiPriority w:val="60"/>
    <w:pPr>
      <w:spacing w:after="0" w:line="240" w:lineRule="auto"/>
    </w:pPr>
    <w:rPr>
      <w:color w:themeColor="accent5" w:themeShade="BF" w:val="31859C"/>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left w:val="nil"/>
          <w:right w:val="nil"/>
          <w:insideH w:val="nil"/>
          <w:insideV w:val="nil"/>
        </w:tcBorders>
        <w:shd w:color="auto" w:fill="D2EAF0" w:themeFill="accent5" w:themeFillTint="3F" w:val="clear"/>
      </w:tcPr>
    </w:tblStylePr>
  </w:style>
  <w:style w:styleId="41" w:type="table">
    <w:name w:val="Light Shading Accent 6"/>
    <w:basedOn w:val="33"/>
    <w:qFormat/>
    <w:uiPriority w:val="60"/>
    <w:pPr>
      <w:spacing w:after="0" w:line="240" w:lineRule="auto"/>
    </w:pPr>
    <w:rPr>
      <w:color w:themeColor="accent6" w:themeShade="BF" w:val="E46C0A"/>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left w:val="nil"/>
          <w:right w:val="nil"/>
          <w:insideH w:val="nil"/>
          <w:insideV w:val="nil"/>
        </w:tcBorders>
        <w:shd w:color="auto" w:fill="FDE5D1" w:themeFill="accent6" w:themeFillTint="3F" w:val="clear"/>
      </w:tcPr>
    </w:tblStylePr>
  </w:style>
  <w:style w:styleId="42" w:type="table">
    <w:name w:val="Light List"/>
    <w:basedOn w:val="33"/>
    <w:qFormat/>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43" w:type="table">
    <w:name w:val="Light List Accent 1"/>
    <w:basedOn w:val="33"/>
    <w:qFormat/>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44" w:type="table">
    <w:name w:val="Light List Accent 2"/>
    <w:basedOn w:val="33"/>
    <w:qFormat/>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45" w:type="table">
    <w:name w:val="Light List Accent 3"/>
    <w:basedOn w:val="33"/>
    <w:qFormat/>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6" w:type="table">
    <w:name w:val="Light List Accent 4"/>
    <w:basedOn w:val="33"/>
    <w:qFormat/>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47" w:type="table">
    <w:name w:val="Light List Accent 5"/>
    <w:basedOn w:val="33"/>
    <w:qFormat/>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48" w:type="table">
    <w:name w:val="Light List Accent 6"/>
    <w:basedOn w:val="33"/>
    <w:qFormat/>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49" w:type="table">
    <w:name w:val="Light Grid"/>
    <w:basedOn w:val="33"/>
    <w:qFormat/>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styleId="50" w:type="table">
    <w:name w:val="Light Grid Accent 1"/>
    <w:basedOn w:val="33"/>
    <w:qFormat/>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styleId="51" w:type="table">
    <w:name w:val="Light Grid Accent 2"/>
    <w:basedOn w:val="33"/>
    <w:qFormat/>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styleId="52" w:type="table">
    <w:name w:val="Light Grid Accent 3"/>
    <w:basedOn w:val="33"/>
    <w:qFormat/>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styleId="53" w:type="table">
    <w:name w:val="Light Grid Accent 4"/>
    <w:basedOn w:val="33"/>
    <w:qFormat/>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styleId="54" w:type="table">
    <w:name w:val="Light Grid Accent 5"/>
    <w:basedOn w:val="33"/>
    <w:qFormat/>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styleId="55" w:type="table">
    <w:name w:val="Light Grid Accent 6"/>
    <w:basedOn w:val="33"/>
    <w:qFormat/>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styleId="56" w:type="table">
    <w:name w:val="Medium Shading 1"/>
    <w:basedOn w:val="33"/>
    <w:qFormat/>
    <w:uiPriority w:val="63"/>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3F3F3F" w:space="0" w:sz="6" w:themeColor="text1" w:themeTint="BF" w:val="double"/>
          <w:left w:color="3F3F3F" w:space="0" w:sz="8" w:themeColor="text1" w:themeTint="BF" w:val="single"/>
          <w:bottom w:color="3F3F3F" w:space="0" w:sz="8" w:themeColor="text1" w:themeTint="BF" w:val="single"/>
          <w:right w:color="3F3F3F"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BFBFBF" w:themeFill="text1" w:themeFillTint="3F" w:val="clear"/>
      </w:tcPr>
    </w:tblStylePr>
    <w:tblStylePr w:type="band1Horz">
      <w:tblPr/>
      <w:tcPr>
        <w:tcBorders>
          <w:insideH w:val="nil"/>
          <w:insideV w:val="nil"/>
        </w:tcBorders>
        <w:shd w:color="auto" w:fill="BFBFBF" w:themeFill="text1" w:themeFillTint="3F" w:val="clear"/>
      </w:tcPr>
    </w:tblStylePr>
    <w:tblStylePr w:type="band2Horz">
      <w:tblPr/>
      <w:tcPr>
        <w:tcBorders>
          <w:insideH w:val="nil"/>
          <w:insideV w:val="nil"/>
        </w:tcBorders>
      </w:tcPr>
    </w:tblStylePr>
  </w:style>
  <w:style w:styleId="57" w:type="table">
    <w:name w:val="Medium Shading 1 Accent 1"/>
    <w:basedOn w:val="33"/>
    <w:qFormat/>
    <w:uiPriority w:val="63"/>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58" w:type="table">
    <w:name w:val="Medium Shading 1 Accent 2"/>
    <w:basedOn w:val="33"/>
    <w:qFormat/>
    <w:uiPriority w:val="63"/>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3" w:themeFill="accent2" w:themeFillTint="3F" w:val="clear"/>
      </w:tcPr>
    </w:tblStylePr>
    <w:tblStylePr w:type="band1Horz">
      <w:tblPr/>
      <w:tcPr>
        <w:tcBorders>
          <w:insideH w:val="nil"/>
          <w:insideV w:val="nil"/>
        </w:tcBorders>
        <w:shd w:color="auto" w:fill="EFD3D3" w:themeFill="accent2" w:themeFillTint="3F" w:val="clear"/>
      </w:tcPr>
    </w:tblStylePr>
    <w:tblStylePr w:type="band2Horz">
      <w:tblPr/>
      <w:tcPr>
        <w:tcBorders>
          <w:insideH w:val="nil"/>
          <w:insideV w:val="nil"/>
        </w:tcBorders>
      </w:tcPr>
    </w:tblStylePr>
  </w:style>
  <w:style w:styleId="59" w:type="table">
    <w:name w:val="Medium Shading 1 Accent 3"/>
    <w:basedOn w:val="33"/>
    <w:qFormat/>
    <w:uiPriority w:val="63"/>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4CC82" w:space="0" w:sz="6" w:themeColor="accent3" w:themeTint="BF" w:val="double"/>
          <w:left w:color="B4CC82" w:space="0" w:sz="8" w:themeColor="accent3" w:themeTint="BF" w:val="single"/>
          <w:bottom w:color="B4CC82" w:space="0" w:sz="8" w:themeColor="accent3" w:themeTint="BF" w:val="single"/>
          <w:right w:color="B4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60" w:type="table">
    <w:name w:val="Medium Shading 1 Accent 4"/>
    <w:basedOn w:val="33"/>
    <w:qFormat/>
    <w:uiPriority w:val="63"/>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61" w:type="table">
    <w:name w:val="Medium Shading 1 Accent 5"/>
    <w:basedOn w:val="33"/>
    <w:qFormat/>
    <w:uiPriority w:val="63"/>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0" w:themeFill="accent5" w:themeFillTint="3F" w:val="clear"/>
      </w:tcPr>
    </w:tblStylePr>
    <w:tblStylePr w:type="band1Horz">
      <w:tblPr/>
      <w:tcPr>
        <w:tcBorders>
          <w:insideH w:val="nil"/>
          <w:insideV w:val="nil"/>
        </w:tcBorders>
        <w:shd w:color="auto" w:fill="D2EAF0" w:themeFill="accent5" w:themeFillTint="3F" w:val="clear"/>
      </w:tcPr>
    </w:tblStylePr>
    <w:tblStylePr w:type="band2Horz">
      <w:tblPr/>
      <w:tcPr>
        <w:tcBorders>
          <w:insideH w:val="nil"/>
          <w:insideV w:val="nil"/>
        </w:tcBorders>
      </w:tcPr>
    </w:tblStylePr>
  </w:style>
  <w:style w:styleId="62" w:type="table">
    <w:name w:val="Medium Shading 1 Accent 6"/>
    <w:basedOn w:val="33"/>
    <w:qFormat/>
    <w:uiPriority w:val="63"/>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5D1" w:themeFill="accent6" w:themeFillTint="3F" w:val="clear"/>
      </w:tcPr>
    </w:tblStylePr>
    <w:tblStylePr w:type="band1Horz">
      <w:tblPr/>
      <w:tcPr>
        <w:tcBorders>
          <w:insideH w:val="nil"/>
          <w:insideV w:val="nil"/>
        </w:tcBorders>
        <w:shd w:color="auto" w:fill="FDE5D1" w:themeFill="accent6" w:themeFillTint="3F" w:val="clear"/>
      </w:tcPr>
    </w:tblStylePr>
    <w:tblStylePr w:type="band2Horz">
      <w:tblPr/>
      <w:tcPr>
        <w:tcBorders>
          <w:insideH w:val="nil"/>
          <w:insideV w:val="nil"/>
        </w:tcBorders>
      </w:tcPr>
    </w:tblStylePr>
  </w:style>
  <w:style w:styleId="63" w:type="table">
    <w:name w:val="Medium Shading 2"/>
    <w:basedOn w:val="33"/>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4" w:type="table">
    <w:name w:val="Medium Shading 2 Accent 1"/>
    <w:basedOn w:val="33"/>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5" w:type="table">
    <w:name w:val="Medium Shading 2 Accent 2"/>
    <w:basedOn w:val="33"/>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6" w:type="table">
    <w:name w:val="Medium Shading 2 Accent 3"/>
    <w:basedOn w:val="33"/>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7" w:type="table">
    <w:name w:val="Medium Shading 2 Accent 4"/>
    <w:basedOn w:val="33"/>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8" w:type="table">
    <w:name w:val="Medium Shading 2 Accent 5"/>
    <w:basedOn w:val="33"/>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9" w:type="table">
    <w:name w:val="Medium Shading 2 Accent 6"/>
    <w:basedOn w:val="33"/>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70" w:type="table">
    <w:name w:val="Medium List 1"/>
    <w:basedOn w:val="33"/>
    <w:qFormat/>
    <w:uiPriority w:val="65"/>
    <w:pPr>
      <w:spacing w:after="0" w:line="240" w:lineRule="auto"/>
    </w:pPr>
    <w:rPr>
      <w:color w:themeColor="text1" w:val="000000"/>
      <w14:textFill>
        <w14:solidFill>
          <w14:schemeClr w14:val="tx1"/>
        </w14:solidFill>
      </w14:textFill>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BFBFBF" w:themeFill="text1" w:themeFillTint="3F" w:val="clear"/>
      </w:tcPr>
    </w:tblStylePr>
    <w:tblStylePr w:type="band1Horz">
      <w:tblPr/>
      <w:tcPr>
        <w:shd w:color="auto" w:fill="BFBFBF" w:themeFill="text1" w:themeFillTint="3F" w:val="clear"/>
      </w:tcPr>
    </w:tblStylePr>
  </w:style>
  <w:style w:styleId="71" w:type="table">
    <w:name w:val="Medium List 1 Accent 1"/>
    <w:basedOn w:val="33"/>
    <w:qFormat/>
    <w:uiPriority w:val="65"/>
    <w:pPr>
      <w:spacing w:after="0" w:line="240" w:lineRule="auto"/>
    </w:pPr>
    <w:rPr>
      <w:color w:themeColor="text1" w:val="000000"/>
      <w14:textFill>
        <w14:solidFill>
          <w14:schemeClr w14:val="tx1"/>
        </w14:solidFill>
      </w14:textFill>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72" w:type="table">
    <w:name w:val="Medium List 1 Accent 2"/>
    <w:basedOn w:val="33"/>
    <w:qFormat/>
    <w:uiPriority w:val="65"/>
    <w:pPr>
      <w:spacing w:after="0" w:line="240" w:lineRule="auto"/>
    </w:pPr>
    <w:rPr>
      <w:color w:themeColor="text1" w:val="000000"/>
      <w14:textFill>
        <w14:solidFill>
          <w14:schemeClr w14:val="tx1"/>
        </w14:solidFill>
      </w14:textFill>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3F" w:val="clear"/>
      </w:tcPr>
    </w:tblStylePr>
    <w:tblStylePr w:type="band1Horz">
      <w:tblPr/>
      <w:tcPr>
        <w:shd w:color="auto" w:fill="EFD3D3" w:themeFill="accent2" w:themeFillTint="3F" w:val="clear"/>
      </w:tcPr>
    </w:tblStylePr>
  </w:style>
  <w:style w:styleId="73" w:type="table">
    <w:name w:val="Medium List 1 Accent 3"/>
    <w:basedOn w:val="33"/>
    <w:qFormat/>
    <w:uiPriority w:val="65"/>
    <w:pPr>
      <w:spacing w:after="0" w:line="240" w:lineRule="auto"/>
    </w:pPr>
    <w:rPr>
      <w:color w:themeColor="text1" w:val="000000"/>
      <w14:textFill>
        <w14:solidFill>
          <w14:schemeClr w14:val="tx1"/>
        </w14:solidFill>
      </w14:textFill>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74" w:type="table">
    <w:name w:val="Medium List 1 Accent 4"/>
    <w:basedOn w:val="33"/>
    <w:qFormat/>
    <w:uiPriority w:val="65"/>
    <w:pPr>
      <w:spacing w:after="0" w:line="240" w:lineRule="auto"/>
    </w:pPr>
    <w:rPr>
      <w:color w:themeColor="text1" w:val="000000"/>
      <w14:textFill>
        <w14:solidFill>
          <w14:schemeClr w14:val="tx1"/>
        </w14:solidFill>
      </w14:textFill>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75" w:type="table">
    <w:name w:val="Medium List 1 Accent 5"/>
    <w:basedOn w:val="33"/>
    <w:qFormat/>
    <w:uiPriority w:val="65"/>
    <w:pPr>
      <w:spacing w:after="0" w:line="240" w:lineRule="auto"/>
    </w:pPr>
    <w:rPr>
      <w:color w:themeColor="text1" w:val="000000"/>
      <w14:textFill>
        <w14:solidFill>
          <w14:schemeClr w14:val="tx1"/>
        </w14:solidFill>
      </w14:textFill>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3F" w:val="clear"/>
      </w:tcPr>
    </w:tblStylePr>
    <w:tblStylePr w:type="band1Horz">
      <w:tblPr/>
      <w:tcPr>
        <w:shd w:color="auto" w:fill="D2EAF0" w:themeFill="accent5" w:themeFillTint="3F" w:val="clear"/>
      </w:tcPr>
    </w:tblStylePr>
  </w:style>
  <w:style w:styleId="76" w:type="table">
    <w:name w:val="Medium List 1 Accent 6"/>
    <w:basedOn w:val="33"/>
    <w:qFormat/>
    <w:uiPriority w:val="65"/>
    <w:pPr>
      <w:spacing w:after="0" w:line="240" w:lineRule="auto"/>
    </w:pPr>
    <w:rPr>
      <w:color w:themeColor="text1" w:val="000000"/>
      <w14:textFill>
        <w14:solidFill>
          <w14:schemeClr w14:val="tx1"/>
        </w14:solidFill>
      </w14:textFill>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3F" w:val="clear"/>
      </w:tcPr>
    </w:tblStylePr>
    <w:tblStylePr w:type="band1Horz">
      <w:tblPr/>
      <w:tcPr>
        <w:shd w:color="auto" w:fill="FDE5D1" w:themeFill="accent6" w:themeFillTint="3F" w:val="clear"/>
      </w:tcPr>
    </w:tblStylePr>
  </w:style>
  <w:style w:styleId="77" w:type="table">
    <w:name w:val="Medium List 2"/>
    <w:basedOn w:val="33"/>
    <w:qFormat/>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top w:val="nil"/>
          <w:bottom w:val="nil"/>
          <w:insideH w:val="nil"/>
          <w:insideV w:val="nil"/>
        </w:tcBorders>
        <w:shd w:color="auto" w:fill="BFBFBF"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78" w:type="table">
    <w:name w:val="Medium List 2 Accent 1"/>
    <w:basedOn w:val="33"/>
    <w:qFormat/>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79" w:type="table">
    <w:name w:val="Medium List 2 Accent 2"/>
    <w:basedOn w:val="33"/>
    <w:qFormat/>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top w:val="nil"/>
          <w:bottom w:val="nil"/>
          <w:insideH w:val="nil"/>
          <w:insideV w:val="nil"/>
        </w:tcBorders>
        <w:shd w:color="auto" w:fill="EFD3D3"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80" w:type="table">
    <w:name w:val="Medium List 2 Accent 3"/>
    <w:basedOn w:val="33"/>
    <w:qFormat/>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81" w:type="table">
    <w:name w:val="Medium List 2 Accent 4"/>
    <w:basedOn w:val="33"/>
    <w:qFormat/>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82" w:type="table">
    <w:name w:val="Medium List 2 Accent 5"/>
    <w:basedOn w:val="33"/>
    <w:qFormat/>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top w:val="nil"/>
          <w:bottom w:val="nil"/>
          <w:insideH w:val="nil"/>
          <w:insideV w:val="nil"/>
        </w:tcBorders>
        <w:shd w:color="auto" w:fill="D2EA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83" w:type="table">
    <w:name w:val="Medium List 2 Accent 6"/>
    <w:basedOn w:val="33"/>
    <w:qFormat/>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top w:val="nil"/>
          <w:bottom w:val="nil"/>
          <w:insideH w:val="nil"/>
          <w:insideV w:val="nil"/>
        </w:tcBorders>
        <w:shd w:color="auto" w:fill="FDE5D1"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4" w:type="table">
    <w:name w:val="Medium Grid 1"/>
    <w:basedOn w:val="33"/>
    <w:qFormat/>
    <w:uiPriority w:val="67"/>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insideV w:color="3F3F3F" w:space="0" w:sz="8" w:themeColor="text1" w:themeTint="BF" w:val="single"/>
      </w:tblBorders>
      <w:tblCellMar>
        <w:top w:type="dxa" w:w="0"/>
        <w:left w:type="dxa" w:w="108"/>
        <w:bottom w:type="dxa" w:w="0"/>
        <w:right w:type="dxa" w:w="108"/>
      </w:tblCellMar>
    </w:tblPr>
    <w:tcPr>
      <w:shd w:color="auto" w:fill="BFBFBF" w:themeFill="text1" w:themeFillTint="3F" w:val="clear"/>
    </w:tcPr>
    <w:tblStylePr w:type="firstRow">
      <w:rPr>
        <w:b/>
        <w:bCs/>
      </w:rPr>
    </w:tblStylePr>
    <w:tblStylePr w:type="lastRow">
      <w:rPr>
        <w:b/>
        <w:bCs/>
      </w:rPr>
      <w:tblPr/>
      <w:tcPr>
        <w:tcBorders>
          <w:top w:color="3F3F3F" w:space="0" w:sz="18" w:themeColor="text1" w:themeTint="BF" w:val="single"/>
        </w:tcBorders>
      </w:tcPr>
    </w:tblStylePr>
    <w:tblStylePr w:type="firstCol">
      <w:rPr>
        <w:b/>
        <w:bCs/>
      </w:rPr>
    </w:tblStylePr>
    <w:tblStylePr w:type="lastCol">
      <w:rPr>
        <w:b/>
        <w:bCs/>
      </w:r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85" w:type="table">
    <w:name w:val="Medium Grid 1 Accent 1"/>
    <w:basedOn w:val="33"/>
    <w:qFormat/>
    <w:uiPriority w:val="67"/>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86" w:type="table">
    <w:name w:val="Medium Grid 1 Accent 2"/>
    <w:basedOn w:val="33"/>
    <w:qFormat/>
    <w:uiPriority w:val="67"/>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3"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87" w:type="table">
    <w:name w:val="Medium Grid 1 Accent 3"/>
    <w:basedOn w:val="33"/>
    <w:qFormat/>
    <w:uiPriority w:val="67"/>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insideV w:color="B4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4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88" w:type="table">
    <w:name w:val="Medium Grid 1 Accent 4"/>
    <w:basedOn w:val="33"/>
    <w:qFormat/>
    <w:uiPriority w:val="67"/>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89" w:type="table">
    <w:name w:val="Medium Grid 1 Accent 5"/>
    <w:basedOn w:val="33"/>
    <w:qFormat/>
    <w:uiPriority w:val="67"/>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0"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90" w:type="table">
    <w:name w:val="Medium Grid 1 Accent 6"/>
    <w:basedOn w:val="33"/>
    <w:qFormat/>
    <w:uiPriority w:val="67"/>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5D1"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1" w:type="table">
    <w:name w:val="Medium Grid 2"/>
    <w:basedOn w:val="33"/>
    <w:qFormat/>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BFBFBF" w:themeFill="text1" w:themeFillTint="3F" w:val="clear"/>
    </w:tcPr>
    <w:tblStylePr w:type="firstRow">
      <w:rPr>
        <w:b/>
        <w:bCs/>
        <w:color w:themeColor="text1" w:val="000000"/>
        <w14:textFill>
          <w14:solidFill>
            <w14:schemeClr w14:val="tx1"/>
          </w14:solidFill>
        </w14:textFill>
      </w:rPr>
      <w:tblPr/>
      <w:tcPr>
        <w:shd w:color="auto" w:fill="E5E5E5" w:themeFill="tex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7F7F7F" w:themeFill="text1" w:themeFillTint="7F" w:val="clear"/>
      </w:tcPr>
    </w:tblStylePr>
    <w:tblStylePr w:type="band1Horz">
      <w:tblPr/>
      <w:tcPr>
        <w:tcBorders>
          <w:insideH w:space="0" w:sz="6" w:val="single"/>
          <w:insideV w:space="0" w:sz="6" w:val="single"/>
        </w:tcBorders>
        <w:shd w:color="auto" w:fill="7F7F7F" w:themeFill="text1" w:themeFillTint="7F" w:val="clear"/>
      </w:tcPr>
    </w:tblStylePr>
    <w:tblStylePr w:type="nwCell">
      <w:tblPr/>
      <w:tcPr>
        <w:shd w:color="auto" w:fill="FFFFFF" w:themeFill="background1" w:val="clear"/>
      </w:tcPr>
    </w:tblStylePr>
  </w:style>
  <w:style w:styleId="92" w:type="table">
    <w:name w:val="Medium Grid 2 Accent 1"/>
    <w:basedOn w:val="33"/>
    <w:qFormat/>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14:textFill>
          <w14:solidFill>
            <w14:schemeClr w14:val="tx1"/>
          </w14:solidFill>
        </w14:textFill>
      </w:rPr>
      <w:tblPr/>
      <w:tcPr>
        <w:shd w:color="auto" w:fill="EDF2F8" w:themeFill="accen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C0DE" w:themeFill="accent1" w:themeFillTint="7F" w:val="clear"/>
      </w:tcPr>
    </w:tblStylePr>
    <w:tblStylePr w:type="band1Horz">
      <w:tblPr/>
      <w:tcPr>
        <w:tcBorders>
          <w:insideH w:space="0" w:sz="6" w:val="single"/>
          <w:insideV w:space="0" w:sz="6" w:val="single"/>
        </w:tcBorders>
        <w:shd w:color="auto" w:fill="A7C0DE" w:themeFill="accent1" w:themeFillTint="7F" w:val="clear"/>
      </w:tcPr>
    </w:tblStylePr>
    <w:tblStylePr w:type="nwCell">
      <w:tblPr/>
      <w:tcPr>
        <w:shd w:color="auto" w:fill="FFFFFF" w:themeFill="background1" w:val="clear"/>
      </w:tcPr>
    </w:tblStylePr>
  </w:style>
  <w:style w:styleId="93" w:type="table">
    <w:name w:val="Medium Grid 2 Accent 2"/>
    <w:basedOn w:val="33"/>
    <w:qFormat/>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3" w:themeFill="accent2" w:themeFillTint="3F" w:val="clear"/>
    </w:tcPr>
    <w:tblStylePr w:type="firstRow">
      <w:rPr>
        <w:b/>
        <w:bCs/>
        <w:color w:themeColor="text1" w:val="000000"/>
        <w14:textFill>
          <w14:solidFill>
            <w14:schemeClr w14:val="tx1"/>
          </w14:solidFill>
        </w14:textFill>
      </w:rPr>
      <w:tblPr/>
      <w:tcPr>
        <w:shd w:color="auto" w:fill="F8EDED" w:themeFill="accent2"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space="0" w:sz="6" w:val="single"/>
          <w:insideV w:space="0" w:sz="6" w:val="single"/>
        </w:tcBorders>
        <w:shd w:color="auto" w:fill="DFA7A6" w:themeFill="accent2" w:themeFillTint="7F" w:val="clear"/>
      </w:tcPr>
    </w:tblStylePr>
    <w:tblStylePr w:type="nwCell">
      <w:tblPr/>
      <w:tcPr>
        <w:shd w:color="auto" w:fill="FFFFFF" w:themeFill="background1" w:val="clear"/>
      </w:tcPr>
    </w:tblStylePr>
  </w:style>
  <w:style w:styleId="94" w:type="table">
    <w:name w:val="Medium Grid 2 Accent 3"/>
    <w:basedOn w:val="33"/>
    <w:qFormat/>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14:textFill>
          <w14:solidFill>
            <w14:schemeClr w14:val="tx1"/>
          </w14:solidFill>
        </w14:textFill>
      </w:rPr>
      <w:tblPr/>
      <w:tcPr>
        <w:shd w:color="auto" w:fill="F5F8EE" w:themeFill="accent3"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space="0" w:sz="6" w:val="single"/>
          <w:insideV w:space="0" w:sz="6" w:val="single"/>
        </w:tcBorders>
        <w:shd w:color="auto" w:fill="CDDDAC" w:themeFill="accent3" w:themeFillTint="7F" w:val="clear"/>
      </w:tcPr>
    </w:tblStylePr>
    <w:tblStylePr w:type="nwCell">
      <w:tblPr/>
      <w:tcPr>
        <w:shd w:color="auto" w:fill="FFFFFF" w:themeFill="background1" w:val="clear"/>
      </w:tcPr>
    </w:tblStylePr>
  </w:style>
  <w:style w:styleId="95" w:type="table">
    <w:name w:val="Medium Grid 2 Accent 4"/>
    <w:basedOn w:val="33"/>
    <w:qFormat/>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14:textFill>
          <w14:solidFill>
            <w14:schemeClr w14:val="tx1"/>
          </w14:solidFill>
        </w14:textFill>
      </w:rPr>
      <w:tblPr/>
      <w:tcPr>
        <w:shd w:color="auto" w:fill="F2EFF5" w:themeFill="accent4"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space="0" w:sz="6" w:val="single"/>
          <w:insideV w:space="0" w:sz="6" w:val="single"/>
        </w:tcBorders>
        <w:shd w:color="auto" w:fill="BFB1D0" w:themeFill="accent4" w:themeFillTint="7F" w:val="clear"/>
      </w:tcPr>
    </w:tblStylePr>
    <w:tblStylePr w:type="nwCell">
      <w:tblPr/>
      <w:tcPr>
        <w:shd w:color="auto" w:fill="FFFFFF" w:themeFill="background1" w:val="clear"/>
      </w:tcPr>
    </w:tblStylePr>
  </w:style>
  <w:style w:styleId="96" w:type="table">
    <w:name w:val="Medium Grid 2 Accent 5"/>
    <w:basedOn w:val="33"/>
    <w:qFormat/>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0" w:themeFill="accent5" w:themeFillTint="3F" w:val="clear"/>
    </w:tcPr>
    <w:tblStylePr w:type="firstRow">
      <w:rPr>
        <w:b/>
        <w:bCs/>
        <w:color w:themeColor="text1" w:val="000000"/>
        <w14:textFill>
          <w14:solidFill>
            <w14:schemeClr w14:val="tx1"/>
          </w14:solidFill>
        </w14:textFill>
      </w:rPr>
      <w:tblPr/>
      <w:tcPr>
        <w:shd w:color="auto" w:fill="EDF6F9" w:themeFill="accent5"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space="0" w:sz="6" w:val="single"/>
          <w:insideV w:space="0" w:sz="6" w:val="single"/>
        </w:tcBorders>
        <w:shd w:color="auto" w:fill="A5D5E2" w:themeFill="accent5" w:themeFillTint="7F" w:val="clear"/>
      </w:tcPr>
    </w:tblStylePr>
    <w:tblStylePr w:type="nwCell">
      <w:tblPr/>
      <w:tcPr>
        <w:shd w:color="auto" w:fill="FFFFFF" w:themeFill="background1" w:val="clear"/>
      </w:tcPr>
    </w:tblStylePr>
  </w:style>
  <w:style w:styleId="97" w:type="table">
    <w:name w:val="Medium Grid 2 Accent 6"/>
    <w:basedOn w:val="33"/>
    <w:qFormat/>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5D1" w:themeFill="accent6" w:themeFillTint="3F" w:val="clear"/>
    </w:tcPr>
    <w:tblStylePr w:type="firstRow">
      <w:rPr>
        <w:b/>
        <w:bCs/>
        <w:color w:themeColor="text1" w:val="000000"/>
        <w14:textFill>
          <w14:solidFill>
            <w14:schemeClr w14:val="tx1"/>
          </w14:solidFill>
        </w14:textFill>
      </w:rPr>
      <w:tblPr/>
      <w:tcPr>
        <w:shd w:color="auto" w:fill="FEF4EC" w:themeFill="accent6"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space="0" w:sz="6" w:val="single"/>
          <w:insideV w:space="0" w:sz="6" w:val="single"/>
        </w:tcBorders>
        <w:shd w:color="auto" w:fill="FBCAA2" w:themeFill="accent6" w:themeFillTint="7F" w:val="clear"/>
      </w:tcPr>
    </w:tblStylePr>
    <w:tblStylePr w:type="nwCell">
      <w:tblPr/>
      <w:tcPr>
        <w:shd w:color="auto" w:fill="FFFFFF" w:themeFill="background1" w:val="clear"/>
      </w:tcPr>
    </w:tblStylePr>
  </w:style>
  <w:style w:styleId="98" w:type="table">
    <w:name w:val="Medium Grid 3"/>
    <w:basedOn w:val="33"/>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BFBFBF" w:themeFill="tex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000000" w:themeFill="tex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000000" w:themeFill="tex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F7F7F"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7F" w:val="clear"/>
      </w:tcPr>
    </w:tblStylePr>
  </w:style>
  <w:style w:styleId="99" w:type="table">
    <w:name w:val="Medium Grid 3 Accent 1"/>
    <w:basedOn w:val="33"/>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F81BD" w:themeFill="accen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F81BD" w:themeFill="accen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C0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7F" w:val="clear"/>
      </w:tcPr>
    </w:tblStylePr>
  </w:style>
  <w:style w:styleId="100" w:type="table">
    <w:name w:val="Medium Grid 3 Accent 2"/>
    <w:basedOn w:val="33"/>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3" w:themeFill="accent2"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C0504D" w:themeFill="accent2"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C0504D" w:themeFill="accent2"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7F" w:val="clear"/>
      </w:tcPr>
    </w:tblStylePr>
  </w:style>
  <w:style w:styleId="101" w:type="table">
    <w:name w:val="Medium Grid 3 Accent 3"/>
    <w:basedOn w:val="33"/>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9BBB59" w:themeFill="accent3"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9BBB59" w:themeFill="accent3"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7F" w:val="clear"/>
      </w:tcPr>
    </w:tblStylePr>
  </w:style>
  <w:style w:styleId="102" w:type="table">
    <w:name w:val="Medium Grid 3 Accent 4"/>
    <w:basedOn w:val="33"/>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8064A2" w:themeFill="accent4"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8064A2" w:themeFill="accent4"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7F" w:val="clear"/>
      </w:tcPr>
    </w:tblStylePr>
  </w:style>
  <w:style w:styleId="103" w:type="table">
    <w:name w:val="Medium Grid 3 Accent 5"/>
    <w:basedOn w:val="33"/>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0" w:themeFill="accent5"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BACC6" w:themeFill="accent5"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BACC6" w:themeFill="accent5"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7F" w:val="clear"/>
      </w:tcPr>
    </w:tblStylePr>
  </w:style>
  <w:style w:styleId="104" w:type="table">
    <w:name w:val="Medium Grid 3 Accent 6"/>
    <w:basedOn w:val="33"/>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5D1" w:themeFill="accent6"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F79646" w:themeFill="accent6"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F79646" w:themeFill="accent6"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7F" w:val="clear"/>
      </w:tcPr>
    </w:tblStylePr>
  </w:style>
  <w:style w:styleId="105" w:type="table">
    <w:name w:val="Dark List"/>
    <w:basedOn w:val="33"/>
    <w:qFormat/>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06" w:type="table">
    <w:name w:val="Dark List Accent 1"/>
    <w:basedOn w:val="33"/>
    <w:qFormat/>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1"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60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6091" w:themeFill="accent1" w:themeFillShade="BF" w:val="clear"/>
      </w:tcPr>
    </w:tblStylePr>
    <w:tblStylePr w:type="band1Vert">
      <w:tblPr/>
      <w:tcPr>
        <w:tcBorders>
          <w:top w:val="nil"/>
          <w:left w:val="nil"/>
          <w:bottom w:val="nil"/>
          <w:right w:val="nil"/>
          <w:insideH w:val="nil"/>
          <w:insideV w:val="nil"/>
        </w:tcBorders>
        <w:shd w:color="auto" w:fill="366091" w:themeFill="accent1" w:themeFillShade="BF" w:val="clear"/>
      </w:tcPr>
    </w:tblStylePr>
    <w:tblStylePr w:type="band1Horz">
      <w:tblPr/>
      <w:tcPr>
        <w:tcBorders>
          <w:top w:val="nil"/>
          <w:left w:val="nil"/>
          <w:bottom w:val="nil"/>
          <w:right w:val="nil"/>
          <w:insideH w:val="nil"/>
          <w:insideV w:val="nil"/>
        </w:tcBorders>
        <w:shd w:color="auto" w:fill="366091" w:themeFill="accent1" w:themeFillShade="BF" w:val="clear"/>
      </w:tcPr>
    </w:tblStylePr>
  </w:style>
  <w:style w:styleId="107" w:type="table">
    <w:name w:val="Dark List Accent 2"/>
    <w:basedOn w:val="33"/>
    <w:qFormat/>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7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734" w:themeFill="accent2" w:themeFillShade="BF" w:val="clear"/>
      </w:tcPr>
    </w:tblStylePr>
    <w:tblStylePr w:type="band1Vert">
      <w:tblPr/>
      <w:tcPr>
        <w:tcBorders>
          <w:top w:val="nil"/>
          <w:left w:val="nil"/>
          <w:bottom w:val="nil"/>
          <w:right w:val="nil"/>
          <w:insideH w:val="nil"/>
          <w:insideV w:val="nil"/>
        </w:tcBorders>
        <w:shd w:color="auto" w:fill="943734" w:themeFill="accent2" w:themeFillShade="BF" w:val="clear"/>
      </w:tcPr>
    </w:tblStylePr>
    <w:tblStylePr w:type="band1Horz">
      <w:tblPr/>
      <w:tcPr>
        <w:tcBorders>
          <w:top w:val="nil"/>
          <w:left w:val="nil"/>
          <w:bottom w:val="nil"/>
          <w:right w:val="nil"/>
          <w:insideH w:val="nil"/>
          <w:insideV w:val="nil"/>
        </w:tcBorders>
        <w:shd w:color="auto" w:fill="943734" w:themeFill="accent2" w:themeFillShade="BF" w:val="clear"/>
      </w:tcPr>
    </w:tblStylePr>
  </w:style>
  <w:style w:styleId="108" w:type="table">
    <w:name w:val="Dark List Accent 3"/>
    <w:basedOn w:val="33"/>
    <w:qFormat/>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7"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09" w:type="table">
    <w:name w:val="Dark List Accent 4"/>
    <w:basedOn w:val="33"/>
    <w:qFormat/>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0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10" w:type="table">
    <w:name w:val="Dark List Accent 5"/>
    <w:basedOn w:val="33"/>
    <w:qFormat/>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1" w:type="table">
    <w:name w:val="Dark List Accent 6"/>
    <w:basedOn w:val="33"/>
    <w:qFormat/>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9"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9" w:themeFill="accent6" w:themeFillShade="BF" w:val="clear"/>
      </w:tcPr>
    </w:tblStylePr>
    <w:tblStylePr w:type="band1Vert">
      <w:tblPr/>
      <w:tcPr>
        <w:tcBorders>
          <w:top w:val="nil"/>
          <w:left w:val="nil"/>
          <w:bottom w:val="nil"/>
          <w:right w:val="nil"/>
          <w:insideH w:val="nil"/>
          <w:insideV w:val="nil"/>
        </w:tcBorders>
        <w:shd w:color="auto" w:fill="E36C09" w:themeFill="accent6" w:themeFillShade="BF" w:val="clear"/>
      </w:tcPr>
    </w:tblStylePr>
    <w:tblStylePr w:type="band1Horz">
      <w:tblPr/>
      <w:tcPr>
        <w:tcBorders>
          <w:top w:val="nil"/>
          <w:left w:val="nil"/>
          <w:bottom w:val="nil"/>
          <w:right w:val="nil"/>
          <w:insideH w:val="nil"/>
          <w:insideV w:val="nil"/>
        </w:tcBorders>
        <w:shd w:color="auto" w:fill="E36C09" w:themeFill="accent6" w:themeFillShade="BF" w:val="clear"/>
      </w:tcPr>
    </w:tblStylePr>
  </w:style>
  <w:style w:styleId="112" w:type="table">
    <w:name w:val="Colorful Shading"/>
    <w:basedOn w:val="33"/>
    <w:qFormat/>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5E5E5"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000000" w:themeFill="tex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000000" w:themeFill="tex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7F7F7F" w:themeFill="tex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3" w:type="table">
    <w:name w:val="Colorful Shading Accent 1"/>
    <w:basedOn w:val="33"/>
    <w:qFormat/>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B4D74" w:themeFill="accen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B4D74" w:themeFill="accen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B4D74" w:themeFill="accent1" w:themeFillShade="99" w:val="clear"/>
      </w:tcPr>
    </w:tblStylePr>
    <w:tblStylePr w:type="band1Vert">
      <w:tblPr/>
      <w:tcPr>
        <w:shd w:color="auto" w:fill="B8CCE4" w:themeFill="accent1" w:themeFillTint="66" w:val="clear"/>
      </w:tcPr>
    </w:tblStylePr>
    <w:tblStylePr w:type="band1Horz">
      <w:tblPr/>
      <w:tcPr>
        <w:shd w:color="auto" w:fill="A7C0DE" w:themeFill="accen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4" w:type="table">
    <w:name w:val="Colorful Shading Accent 2"/>
    <w:basedOn w:val="33"/>
    <w:qFormat/>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772C2A" w:themeFill="accent2"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772C2A" w:themeFill="accent2"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5" w:type="table">
    <w:name w:val="Colorful Shading Accent 3"/>
    <w:basedOn w:val="33"/>
    <w:qFormat/>
    <w:uiPriority w:val="71"/>
    <w:pPr>
      <w:spacing w:after="0" w:line="240" w:lineRule="auto"/>
    </w:pPr>
    <w:rPr>
      <w:color w:themeColor="text1" w:val="000000"/>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5E7530" w:themeFill="accent3"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5E7530" w:themeFill="accent3"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16" w:type="table">
    <w:name w:val="Colorful Shading Accent 4"/>
    <w:basedOn w:val="33"/>
    <w:qFormat/>
    <w:uiPriority w:val="71"/>
    <w:pPr>
      <w:spacing w:after="0" w:line="240" w:lineRule="auto"/>
    </w:pPr>
    <w:rPr>
      <w:color w:themeColor="text1" w:val="000000"/>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5"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4C3A62" w:themeFill="accent4"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4C3A62" w:themeFill="accent4"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4C3A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7" w:type="table">
    <w:name w:val="Colorful Shading Accent 5"/>
    <w:basedOn w:val="33"/>
    <w:qFormat/>
    <w:uiPriority w:val="71"/>
    <w:pPr>
      <w:spacing w:after="0" w:line="240" w:lineRule="auto"/>
    </w:pPr>
    <w:rPr>
      <w:color w:themeColor="text1" w:val="000000"/>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76A7C" w:themeFill="accent5"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76A7C" w:themeFill="accent5"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8" w:type="table">
    <w:name w:val="Colorful Shading Accent 6"/>
    <w:basedOn w:val="33"/>
    <w:qFormat/>
    <w:uiPriority w:val="71"/>
    <w:pPr>
      <w:spacing w:after="0" w:line="240" w:lineRule="auto"/>
    </w:pPr>
    <w:rPr>
      <w:color w:themeColor="text1" w:val="000000"/>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B65607" w:themeFill="accent6"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B65607" w:themeFill="accent6"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B65607"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9" w:type="table">
    <w:name w:val="Colorful List"/>
    <w:basedOn w:val="33"/>
    <w:qFormat/>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5E5E5" w:themeFill="tex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FBFBF" w:themeFill="text1" w:themeFillTint="3F" w:val="clear"/>
      </w:tcPr>
    </w:tblStylePr>
    <w:tblStylePr w:type="band1Horz">
      <w:tblPr/>
      <w:tcPr>
        <w:shd w:color="auto" w:fill="CCCCCC" w:themeFill="text1" w:themeFillTint="33" w:val="clear"/>
      </w:tcPr>
    </w:tblStylePr>
  </w:style>
  <w:style w:styleId="120" w:type="table">
    <w:name w:val="Colorful List Accent 1"/>
    <w:basedOn w:val="33"/>
    <w:qFormat/>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21" w:type="table">
    <w:name w:val="Colorful List Accent 2"/>
    <w:basedOn w:val="33"/>
    <w:qFormat/>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3" w:themeFill="accent2" w:themeFillTint="3F" w:val="clear"/>
      </w:tcPr>
    </w:tblStylePr>
    <w:tblStylePr w:type="band1Horz">
      <w:tblPr/>
      <w:tcPr>
        <w:shd w:color="auto" w:fill="F2DBDB" w:themeFill="accent2" w:themeFillTint="33" w:val="clear"/>
      </w:tcPr>
    </w:tblStylePr>
  </w:style>
  <w:style w:styleId="122" w:type="table">
    <w:name w:val="Colorful List Accent 3"/>
    <w:basedOn w:val="33"/>
    <w:qFormat/>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F83"/>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23" w:type="table">
    <w:name w:val="Colorful List Accent 4"/>
    <w:basedOn w:val="33"/>
    <w:qFormat/>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2EFF5" w:themeFill="accent4"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D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24" w:type="table">
    <w:name w:val="Colorful List Accent 5"/>
    <w:basedOn w:val="33"/>
    <w:qFormat/>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F3730A" w:themeFill="accent6" w:themeFillShade="CC" w:val="clear"/>
      </w:tcPr>
    </w:tblStylePr>
    <w:tblStylePr w:type="lastRow">
      <w:rPr>
        <w:b/>
        <w:bCs/>
        <w:color w:themeColor="accent6" w:themeShade="CC" w:val="F3740B"/>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0" w:themeFill="accent5" w:themeFillTint="3F" w:val="clear"/>
      </w:tcPr>
    </w:tblStylePr>
    <w:tblStylePr w:type="band1Horz">
      <w:tblPr/>
      <w:tcPr>
        <w:shd w:color="auto" w:fill="DAEEF3" w:themeFill="accent5" w:themeFillTint="33" w:val="clear"/>
      </w:tcPr>
    </w:tblStylePr>
  </w:style>
  <w:style w:styleId="125" w:type="table">
    <w:name w:val="Colorful List Accent 6"/>
    <w:basedOn w:val="33"/>
    <w:qFormat/>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58EA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5D1" w:themeFill="accent6" w:themeFillTint="3F" w:val="clear"/>
      </w:tcPr>
    </w:tblStylePr>
    <w:tblStylePr w:type="band1Horz">
      <w:tblPr/>
      <w:tcPr>
        <w:shd w:color="auto" w:fill="FDE9D9" w:themeFill="accent6" w:themeFillTint="33" w:val="clear"/>
      </w:tcPr>
    </w:tblStylePr>
  </w:style>
  <w:style w:styleId="126" w:type="table">
    <w:name w:val="Colorful Grid"/>
    <w:basedOn w:val="33"/>
    <w:qFormat/>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14:textFill>
          <w14:solidFill>
            <w14:schemeClr w14:val="tx1"/>
          </w14:solidFill>
        </w14:textFill>
      </w:rPr>
      <w:tblPr/>
      <w:tcPr>
        <w:shd w:color="auto" w:fill="999999" w:themeFill="text1" w:themeFillTint="66" w:val="clear"/>
      </w:tcPr>
    </w:tblStylePr>
    <w:tblStylePr w:type="firstCol">
      <w:rPr>
        <w:color w:themeColor="background1" w:val="FFFFFF"/>
        <w14:textFill>
          <w14:solidFill>
            <w14:schemeClr w14:val="bg1"/>
          </w14:solidFill>
        </w14:textFill>
      </w:rPr>
      <w:tblPr/>
      <w:tcPr>
        <w:shd w:color="auto" w:fill="000000" w:themeFill="text1" w:themeFillShade="BF" w:val="clear"/>
      </w:tcPr>
    </w:tblStylePr>
    <w:tblStylePr w:type="lastCol">
      <w:rPr>
        <w:color w:themeColor="background1" w:val="FFFFFF"/>
        <w14:textFill>
          <w14:solidFill>
            <w14:schemeClr w14:val="bg1"/>
          </w14:solidFill>
        </w14:textFill>
      </w:rPr>
      <w:tblPr/>
      <w:tcPr>
        <w:shd w:color="auto" w:fill="000000" w:themeFill="text1" w:themeFillShade="BF" w:val="clear"/>
      </w:tc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127" w:type="table">
    <w:name w:val="Colorful Grid Accent 1"/>
    <w:basedOn w:val="33"/>
    <w:qFormat/>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14:textFill>
          <w14:solidFill>
            <w14:schemeClr w14:val="tx1"/>
          </w14:solidFill>
        </w14:textFill>
      </w:rPr>
      <w:tblPr/>
      <w:tcPr>
        <w:shd w:color="auto" w:fill="B8CCE4" w:themeFill="accent1" w:themeFillTint="66" w:val="clear"/>
      </w:tcPr>
    </w:tblStylePr>
    <w:tblStylePr w:type="firstCol">
      <w:rPr>
        <w:color w:themeColor="background1" w:val="FFFFFF"/>
        <w14:textFill>
          <w14:solidFill>
            <w14:schemeClr w14:val="bg1"/>
          </w14:solidFill>
        </w14:textFill>
      </w:rPr>
      <w:tblPr/>
      <w:tcPr>
        <w:shd w:color="auto" w:fill="366091" w:themeFill="accent1" w:themeFillShade="BF" w:val="clear"/>
      </w:tcPr>
    </w:tblStylePr>
    <w:tblStylePr w:type="lastCol">
      <w:rPr>
        <w:color w:themeColor="background1" w:val="FFFFFF"/>
        <w14:textFill>
          <w14:solidFill>
            <w14:schemeClr w14:val="bg1"/>
          </w14:solidFill>
        </w14:textFill>
      </w:rPr>
      <w:tblPr/>
      <w:tcPr>
        <w:shd w:color="auto" w:fill="366091" w:themeFill="accent1" w:themeFillShade="BF" w:val="clear"/>
      </w:tc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128" w:type="table">
    <w:name w:val="Colorful Grid Accent 2"/>
    <w:basedOn w:val="33"/>
    <w:qFormat/>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14:textFill>
          <w14:solidFill>
            <w14:schemeClr w14:val="tx1"/>
          </w14:solidFill>
        </w14:textFill>
      </w:rPr>
      <w:tblPr/>
      <w:tcPr>
        <w:shd w:color="auto" w:fill="E5B8B7" w:themeFill="accent2" w:themeFillTint="66" w:val="clear"/>
      </w:tcPr>
    </w:tblStylePr>
    <w:tblStylePr w:type="firstCol">
      <w:rPr>
        <w:color w:themeColor="background1" w:val="FFFFFF"/>
        <w14:textFill>
          <w14:solidFill>
            <w14:schemeClr w14:val="bg1"/>
          </w14:solidFill>
        </w14:textFill>
      </w:rPr>
      <w:tblPr/>
      <w:tcPr>
        <w:shd w:color="auto" w:fill="943734" w:themeFill="accent2" w:themeFillShade="BF" w:val="clear"/>
      </w:tcPr>
    </w:tblStylePr>
    <w:tblStylePr w:type="lastCol">
      <w:rPr>
        <w:color w:themeColor="background1" w:val="FFFFFF"/>
        <w14:textFill>
          <w14:solidFill>
            <w14:schemeClr w14:val="bg1"/>
          </w14:solidFill>
        </w14:textFill>
      </w:rPr>
      <w:tblPr/>
      <w:tcPr>
        <w:shd w:color="auto" w:fill="9437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29" w:type="table">
    <w:name w:val="Colorful Grid Accent 3"/>
    <w:basedOn w:val="33"/>
    <w:qFormat/>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14:textFill>
          <w14:solidFill>
            <w14:schemeClr w14:val="tx1"/>
          </w14:solidFill>
        </w14:textFill>
      </w:rPr>
      <w:tblPr/>
      <w:tcPr>
        <w:shd w:color="auto" w:fill="D6E3BC" w:themeFill="accent3" w:themeFillTint="66" w:val="clear"/>
      </w:tcPr>
    </w:tblStylePr>
    <w:tblStylePr w:type="firstCol">
      <w:rPr>
        <w:color w:themeColor="background1" w:val="FFFFFF"/>
        <w14:textFill>
          <w14:solidFill>
            <w14:schemeClr w14:val="bg1"/>
          </w14:solidFill>
        </w14:textFill>
      </w:rPr>
      <w:tblPr/>
      <w:tcPr>
        <w:shd w:color="auto" w:fill="76923C" w:themeFill="accent3" w:themeFillShade="BF" w:val="clear"/>
      </w:tcPr>
    </w:tblStylePr>
    <w:tblStylePr w:type="lastCol">
      <w:rPr>
        <w:color w:themeColor="background1" w:val="FFFFFF"/>
        <w14:textFill>
          <w14:solidFill>
            <w14:schemeClr w14:val="bg1"/>
          </w14:solidFill>
        </w14:textFill>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30" w:type="table">
    <w:name w:val="Colorful Grid Accent 4"/>
    <w:basedOn w:val="33"/>
    <w:qFormat/>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14:textFill>
          <w14:solidFill>
            <w14:schemeClr w14:val="tx1"/>
          </w14:solidFill>
        </w14:textFill>
      </w:rPr>
      <w:tblPr/>
      <w:tcPr>
        <w:shd w:color="auto" w:fill="CCC0D9" w:themeFill="accent4" w:themeFillTint="66" w:val="clear"/>
      </w:tcPr>
    </w:tblStylePr>
    <w:tblStylePr w:type="firstCol">
      <w:rPr>
        <w:color w:themeColor="background1" w:val="FFFFFF"/>
        <w14:textFill>
          <w14:solidFill>
            <w14:schemeClr w14:val="bg1"/>
          </w14:solidFill>
        </w14:textFill>
      </w:rPr>
      <w:tblPr/>
      <w:tcPr>
        <w:shd w:color="auto" w:fill="5F497A" w:themeFill="accent4" w:themeFillShade="BF" w:val="clear"/>
      </w:tcPr>
    </w:tblStylePr>
    <w:tblStylePr w:type="lastCol">
      <w:rPr>
        <w:color w:themeColor="background1" w:val="FFFFFF"/>
        <w14:textFill>
          <w14:solidFill>
            <w14:schemeClr w14:val="bg1"/>
          </w14:solidFill>
        </w14:textFill>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31" w:type="table">
    <w:name w:val="Colorful Grid Accent 5"/>
    <w:basedOn w:val="33"/>
    <w:qFormat/>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14:textFill>
          <w14:solidFill>
            <w14:schemeClr w14:val="tx1"/>
          </w14:solidFill>
        </w14:textFill>
      </w:rPr>
      <w:tblPr/>
      <w:tcPr>
        <w:shd w:color="auto" w:fill="B6DDE8" w:themeFill="accent5" w:themeFillTint="66" w:val="clear"/>
      </w:tcPr>
    </w:tblStylePr>
    <w:tblStylePr w:type="firstCol">
      <w:rPr>
        <w:color w:themeColor="background1" w:val="FFFFFF"/>
        <w14:textFill>
          <w14:solidFill>
            <w14:schemeClr w14:val="bg1"/>
          </w14:solidFill>
        </w14:textFill>
      </w:rPr>
      <w:tblPr/>
      <w:tcPr>
        <w:shd w:color="auto" w:fill="31849B" w:themeFill="accent5" w:themeFillShade="BF" w:val="clear"/>
      </w:tcPr>
    </w:tblStylePr>
    <w:tblStylePr w:type="lastCol">
      <w:rPr>
        <w:color w:themeColor="background1" w:val="FFFFFF"/>
        <w14:textFill>
          <w14:solidFill>
            <w14:schemeClr w14:val="bg1"/>
          </w14:solidFill>
        </w14:textFill>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32" w:type="table">
    <w:name w:val="Colorful Grid Accent 6"/>
    <w:basedOn w:val="33"/>
    <w:qFormat/>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14:textFill>
          <w14:solidFill>
            <w14:schemeClr w14:val="tx1"/>
          </w14:solidFill>
        </w14:textFill>
      </w:rPr>
      <w:tblPr/>
      <w:tcPr>
        <w:shd w:color="auto" w:fill="FBD4B4" w:themeFill="accent6" w:themeFillTint="66" w:val="clear"/>
      </w:tcPr>
    </w:tblStylePr>
    <w:tblStylePr w:type="firstCol">
      <w:rPr>
        <w:color w:themeColor="background1" w:val="FFFFFF"/>
        <w14:textFill>
          <w14:solidFill>
            <w14:schemeClr w14:val="bg1"/>
          </w14:solidFill>
        </w14:textFill>
      </w:rPr>
      <w:tblPr/>
      <w:tcPr>
        <w:shd w:color="auto" w:fill="E36C09" w:themeFill="accent6" w:themeFillShade="BF" w:val="clear"/>
      </w:tcPr>
    </w:tblStylePr>
    <w:tblStylePr w:type="lastCol">
      <w:rPr>
        <w:color w:themeColor="background1" w:val="FFFFFF"/>
        <w14:textFill>
          <w14:solidFill>
            <w14:schemeClr w14:val="bg1"/>
          </w14:solidFill>
        </w14:textFill>
      </w:rPr>
      <w:tblPr/>
      <w:tcPr>
        <w:shd w:color="auto" w:fill="E36C09"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134" w:type="character">
    <w:name w:val="Strong"/>
    <w:basedOn w:val="133"/>
    <w:qFormat/>
    <w:uiPriority w:val="22"/>
    <w:rPr>
      <w:b/>
      <w:bCs/>
    </w:rPr>
  </w:style>
  <w:style w:styleId="135" w:type="character">
    <w:name w:val="Emphasis"/>
    <w:basedOn w:val="133"/>
    <w:qFormat/>
    <w:uiPriority w:val="20"/>
    <w:rPr>
      <w:i/>
      <w:iCs/>
    </w:rPr>
  </w:style>
  <w:style w:customStyle="1" w:styleId="136" w:type="character">
    <w:name w:val="Header Char"/>
    <w:basedOn w:val="133"/>
    <w:link w:val="25"/>
    <w:qFormat/>
    <w:uiPriority w:val="99"/>
  </w:style>
  <w:style w:customStyle="1" w:styleId="137" w:type="character">
    <w:name w:val="Footer Char"/>
    <w:basedOn w:val="133"/>
    <w:link w:val="24"/>
    <w:qFormat/>
    <w:uiPriority w:val="99"/>
  </w:style>
  <w:style w:styleId="138" w:type="paragraph">
    <w:name w:val="No Spacing"/>
    <w:qFormat/>
    <w:uiPriority w:val="1"/>
    <w:pPr>
      <w:spacing w:after="0" w:line="240" w:lineRule="auto"/>
    </w:pPr>
    <w:rPr>
      <w:rFonts w:asciiTheme="minorHAnsi" w:cstheme="minorBidi" w:eastAsiaTheme="minorEastAsia" w:hAnsiTheme="minorHAnsi"/>
      <w:sz w:val="22"/>
      <w:szCs w:val="22"/>
      <w:lang w:bidi="ar-SA" w:eastAsia="en-US" w:val="en-US"/>
    </w:rPr>
  </w:style>
  <w:style w:customStyle="1" w:styleId="139" w:type="character">
    <w:name w:val="Heading 1 Char"/>
    <w:basedOn w:val="133"/>
    <w:link w:val="3"/>
    <w:qFormat/>
    <w:uiPriority w:val="9"/>
    <w:rPr>
      <w:rFonts w:asciiTheme="majorHAnsi" w:cstheme="majorBidi" w:eastAsiaTheme="majorEastAsia" w:hAnsiTheme="majorHAnsi"/>
      <w:b/>
      <w:bCs/>
      <w:color w:themeColor="accent1" w:themeShade="BF" w:val="376092"/>
      <w:sz w:val="28"/>
      <w:szCs w:val="28"/>
    </w:rPr>
  </w:style>
  <w:style w:customStyle="1" w:styleId="140" w:type="character">
    <w:name w:val="Heading 2 Char"/>
    <w:basedOn w:val="133"/>
    <w:link w:val="4"/>
    <w:qFormat/>
    <w:uiPriority w:val="9"/>
    <w:rPr>
      <w:rFonts w:asciiTheme="majorHAnsi" w:cstheme="majorBidi" w:eastAsiaTheme="majorEastAsia" w:hAnsiTheme="majorHAnsi"/>
      <w:b/>
      <w:bCs/>
      <w:color w:themeColor="accent1" w:val="4F81BD"/>
      <w:sz w:val="26"/>
      <w:szCs w:val="26"/>
      <w14:textFill>
        <w14:solidFill>
          <w14:schemeClr w14:val="accent1"/>
        </w14:solidFill>
      </w14:textFill>
    </w:rPr>
  </w:style>
  <w:style w:customStyle="1" w:styleId="141" w:type="character">
    <w:name w:val="Heading 3 Char"/>
    <w:basedOn w:val="133"/>
    <w:link w:val="5"/>
    <w:qFormat/>
    <w:uiPriority w:val="9"/>
    <w:rPr>
      <w:rFonts w:asciiTheme="majorHAnsi" w:cstheme="majorBidi" w:eastAsiaTheme="majorEastAsia" w:hAnsiTheme="majorHAnsi"/>
      <w:b/>
      <w:bCs/>
      <w:color w:themeColor="accent1" w:val="4F81BD"/>
      <w14:textFill>
        <w14:solidFill>
          <w14:schemeClr w14:val="accent1"/>
        </w14:solidFill>
      </w14:textFill>
    </w:rPr>
  </w:style>
  <w:style w:customStyle="1" w:styleId="142" w:type="character">
    <w:name w:val="Title Char"/>
    <w:basedOn w:val="133"/>
    <w:link w:val="32"/>
    <w:qFormat/>
    <w:uiPriority w:val="10"/>
    <w:rPr>
      <w:rFonts w:asciiTheme="majorHAnsi" w:cstheme="majorBidi" w:eastAsiaTheme="majorEastAsia" w:hAnsiTheme="majorHAnsi"/>
      <w:color w:themeColor="text2" w:themeShade="BF" w:val="17375E"/>
      <w:spacing w:val="5"/>
      <w:kern w:val="28"/>
      <w:sz w:val="52"/>
      <w:szCs w:val="52"/>
    </w:rPr>
  </w:style>
  <w:style w:customStyle="1" w:styleId="143" w:type="character">
    <w:name w:val="Subtitle Char"/>
    <w:basedOn w:val="133"/>
    <w:link w:val="26"/>
    <w:qFormat/>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144" w:type="paragraph">
    <w:name w:val="List Paragraph"/>
    <w:basedOn w:val="1"/>
    <w:qFormat/>
    <w:uiPriority w:val="34"/>
    <w:pPr>
      <w:ind w:left="720"/>
      <w:contextualSpacing/>
    </w:pPr>
  </w:style>
  <w:style w:customStyle="1" w:styleId="145" w:type="character">
    <w:name w:val="Body Text Char"/>
    <w:basedOn w:val="133"/>
    <w:link w:val="19"/>
    <w:qFormat/>
    <w:uiPriority w:val="99"/>
  </w:style>
  <w:style w:customStyle="1" w:styleId="146" w:type="character">
    <w:name w:val="Body Text 2 Char"/>
    <w:basedOn w:val="133"/>
    <w:link w:val="28"/>
    <w:qFormat/>
    <w:uiPriority w:val="99"/>
  </w:style>
  <w:style w:customStyle="1" w:styleId="147" w:type="character">
    <w:name w:val="Body Text 3 Char"/>
    <w:basedOn w:val="133"/>
    <w:link w:val="17"/>
    <w:qFormat/>
    <w:uiPriority w:val="99"/>
    <w:rPr>
      <w:sz w:val="16"/>
      <w:szCs w:val="16"/>
    </w:rPr>
  </w:style>
  <w:style w:customStyle="1" w:styleId="148" w:type="character">
    <w:name w:val="Macro Text Char"/>
    <w:basedOn w:val="133"/>
    <w:link w:val="2"/>
    <w:qFormat/>
    <w:uiPriority w:val="99"/>
    <w:rPr>
      <w:rFonts w:ascii="Courier" w:hAnsi="Courier"/>
      <w:sz w:val="20"/>
      <w:szCs w:val="20"/>
    </w:rPr>
  </w:style>
  <w:style w:styleId="149" w:type="paragraph">
    <w:name w:val="Quote"/>
    <w:basedOn w:val="1"/>
    <w:next w:val="1"/>
    <w:link w:val="150"/>
    <w:qFormat/>
    <w:uiPriority w:val="29"/>
    <w:rPr>
      <w:i/>
      <w:iCs/>
      <w:color w:themeColor="text1" w:val="000000"/>
      <w14:textFill>
        <w14:solidFill>
          <w14:schemeClr w14:val="tx1"/>
        </w14:solidFill>
      </w14:textFill>
    </w:rPr>
  </w:style>
  <w:style w:customStyle="1" w:styleId="150" w:type="character">
    <w:name w:val="Quote Char"/>
    <w:basedOn w:val="133"/>
    <w:link w:val="149"/>
    <w:qFormat/>
    <w:uiPriority w:val="29"/>
    <w:rPr>
      <w:i/>
      <w:iCs/>
      <w:color w:themeColor="text1" w:val="000000"/>
      <w14:textFill>
        <w14:solidFill>
          <w14:schemeClr w14:val="tx1"/>
        </w14:solidFill>
      </w14:textFill>
    </w:rPr>
  </w:style>
  <w:style w:customStyle="1" w:styleId="151" w:type="character">
    <w:name w:val="Heading 4 Char"/>
    <w:basedOn w:val="133"/>
    <w:link w:val="6"/>
    <w:semiHidden/>
    <w:qFormat/>
    <w:uiPriority w:val="9"/>
    <w:rPr>
      <w:rFonts w:asciiTheme="majorHAnsi" w:cstheme="majorBidi" w:eastAsiaTheme="majorEastAsia" w:hAnsiTheme="majorHAnsi"/>
      <w:b/>
      <w:bCs/>
      <w:i/>
      <w:iCs/>
      <w:color w:themeColor="accent1" w:val="4F81BD"/>
      <w14:textFill>
        <w14:solidFill>
          <w14:schemeClr w14:val="accent1"/>
        </w14:solidFill>
      </w14:textFill>
    </w:rPr>
  </w:style>
  <w:style w:customStyle="1" w:styleId="152" w:type="character">
    <w:name w:val="Heading 5 Char"/>
    <w:basedOn w:val="133"/>
    <w:link w:val="7"/>
    <w:semiHidden/>
    <w:qFormat/>
    <w:uiPriority w:val="9"/>
    <w:rPr>
      <w:rFonts w:asciiTheme="majorHAnsi" w:cstheme="majorBidi" w:eastAsiaTheme="majorEastAsia" w:hAnsiTheme="majorHAnsi"/>
      <w:color w:themeColor="accent1" w:themeShade="80" w:val="254061"/>
    </w:rPr>
  </w:style>
  <w:style w:customStyle="1" w:styleId="153" w:type="character">
    <w:name w:val="Heading 6 Char"/>
    <w:basedOn w:val="133"/>
    <w:link w:val="8"/>
    <w:semiHidden/>
    <w:qFormat/>
    <w:uiPriority w:val="9"/>
    <w:rPr>
      <w:rFonts w:asciiTheme="majorHAnsi" w:cstheme="majorBidi" w:eastAsiaTheme="majorEastAsia" w:hAnsiTheme="majorHAnsi"/>
      <w:i/>
      <w:iCs/>
      <w:color w:themeColor="accent1" w:themeShade="80" w:val="254061"/>
    </w:rPr>
  </w:style>
  <w:style w:customStyle="1" w:styleId="154" w:type="character">
    <w:name w:val="Heading 7 Char"/>
    <w:basedOn w:val="133"/>
    <w:link w:val="9"/>
    <w:semiHidden/>
    <w:qFormat/>
    <w:uiPriority w:val="9"/>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customStyle="1" w:styleId="155" w:type="character">
    <w:name w:val="Heading 8 Char"/>
    <w:basedOn w:val="133"/>
    <w:link w:val="10"/>
    <w:semiHidden/>
    <w:qFormat/>
    <w:uiPriority w:val="9"/>
    <w:rPr>
      <w:rFonts w:asciiTheme="majorHAnsi" w:cstheme="majorBidi" w:eastAsiaTheme="majorEastAsia" w:hAnsiTheme="majorHAnsi"/>
      <w:color w:themeColor="accent1" w:val="4F81BD"/>
      <w:sz w:val="20"/>
      <w:szCs w:val="20"/>
      <w14:textFill>
        <w14:solidFill>
          <w14:schemeClr w14:val="accent1"/>
        </w14:solidFill>
      </w14:textFill>
    </w:rPr>
  </w:style>
  <w:style w:customStyle="1" w:styleId="156" w:type="character">
    <w:name w:val="Heading 9 Char"/>
    <w:basedOn w:val="133"/>
    <w:link w:val="11"/>
    <w:semiHidden/>
    <w:qFormat/>
    <w:uiPriority w:val="9"/>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styleId="157" w:type="paragraph">
    <w:name w:val="Intense Quote"/>
    <w:basedOn w:val="1"/>
    <w:next w:val="1"/>
    <w:link w:val="158"/>
    <w:qFormat/>
    <w:uiPriority w:val="30"/>
    <w:pPr>
      <w:pBdr>
        <w:bottom w:color="4F81BD" w:space="4" w:sz="4" w:themeColor="accent1" w:val="single"/>
      </w:pBdr>
      <w:spacing w:after="280" w:before="200"/>
      <w:ind w:left="936" w:right="936"/>
    </w:pPr>
    <w:rPr>
      <w:b/>
      <w:bCs/>
      <w:i/>
      <w:iCs/>
      <w:color w:themeColor="accent1" w:val="4F81BD"/>
      <w14:textFill>
        <w14:solidFill>
          <w14:schemeClr w14:val="accent1"/>
        </w14:solidFill>
      </w14:textFill>
    </w:rPr>
  </w:style>
  <w:style w:customStyle="1" w:styleId="158" w:type="character">
    <w:name w:val="Intense Quote Char"/>
    <w:basedOn w:val="133"/>
    <w:link w:val="157"/>
    <w:qFormat/>
    <w:uiPriority w:val="30"/>
    <w:rPr>
      <w:b/>
      <w:bCs/>
      <w:i/>
      <w:iCs/>
      <w:color w:themeColor="accent1" w:val="4F81BD"/>
      <w14:textFill>
        <w14:solidFill>
          <w14:schemeClr w14:val="accent1"/>
        </w14:solidFill>
      </w14:textFill>
    </w:rPr>
  </w:style>
  <w:style w:customStyle="1" w:styleId="159" w:type="character">
    <w:name w:val="Subtle Emphasis"/>
    <w:basedOn w:val="133"/>
    <w:qFormat/>
    <w:uiPriority w:val="19"/>
    <w:rPr>
      <w:i/>
      <w:iCs/>
      <w:color w:themeColor="text1" w:themeTint="80" w:val="808080"/>
      <w14:textFill>
        <w14:solidFill>
          <w14:schemeClr w14:val="tx1">
            <w14:lumMod w14:val="50000"/>
            <w14:lumOff w14:val="50000"/>
          </w14:schemeClr>
        </w14:solidFill>
      </w14:textFill>
    </w:rPr>
  </w:style>
  <w:style w:customStyle="1" w:styleId="160" w:type="character">
    <w:name w:val="Intense Emphasis"/>
    <w:basedOn w:val="133"/>
    <w:qFormat/>
    <w:uiPriority w:val="21"/>
    <w:rPr>
      <w:b/>
      <w:bCs/>
      <w:i/>
      <w:iCs/>
      <w:color w:themeColor="accent1" w:val="4F81BD"/>
      <w14:textFill>
        <w14:solidFill>
          <w14:schemeClr w14:val="accent1"/>
        </w14:solidFill>
      </w14:textFill>
    </w:rPr>
  </w:style>
  <w:style w:customStyle="1" w:styleId="161" w:type="character">
    <w:name w:val="Subtle Reference"/>
    <w:basedOn w:val="133"/>
    <w:qFormat/>
    <w:uiPriority w:val="31"/>
    <w:rPr>
      <w:smallCaps/>
      <w:color w:themeColor="accent2" w:val="C0504D"/>
      <w:u w:val="single"/>
      <w14:textFill>
        <w14:solidFill>
          <w14:schemeClr w14:val="accent2"/>
        </w14:solidFill>
      </w14:textFill>
    </w:rPr>
  </w:style>
  <w:style w:customStyle="1" w:styleId="162" w:type="character">
    <w:name w:val="Intense Reference"/>
    <w:basedOn w:val="133"/>
    <w:qFormat/>
    <w:uiPriority w:val="32"/>
    <w:rPr>
      <w:b/>
      <w:bCs/>
      <w:smallCaps/>
      <w:color w:themeColor="accent2" w:val="C0504D"/>
      <w:spacing w:val="5"/>
      <w:u w:val="single"/>
      <w14:textFill>
        <w14:solidFill>
          <w14:schemeClr w14:val="accent2"/>
        </w14:solidFill>
      </w14:textFill>
    </w:rPr>
  </w:style>
  <w:style w:customStyle="1" w:styleId="163" w:type="character">
    <w:name w:val="Book Title"/>
    <w:basedOn w:val="133"/>
    <w:qFormat/>
    <w:uiPriority w:val="33"/>
    <w:rPr>
      <w:b/>
      <w:bCs/>
      <w:smallCaps/>
      <w:spacing w:val="5"/>
    </w:rPr>
  </w:style>
  <w:style w:customStyle="1" w:styleId="164" w:type="paragraph">
    <w:name w:val="TOC Heading"/>
    <w:basedOn w:val="3"/>
    <w:next w:val="1"/>
    <w:semiHidden/>
    <w:unhideWhenUsed/>
    <w:qFormat/>
    <w:uiPriority w:val="39"/>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1882</Words>
  <Characters>11771</Characters>
  <Lines>0</Lines>
  <Paragraphs>0</Paragraphs>
  <TotalTime>27</TotalTime>
  <ScaleCrop>false</ScaleCrop>
  <LinksUpToDate>false</LinksUpToDate>
  <CharactersWithSpaces>13648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2026-06-15T08:56:56Z</dcterms:created>
  <dcterms:modified xsi:type="dcterms:W3CDTF">2026-06-15T08:56:56Z</dcterms:modified>
</cp:coreProperties>
</file>

<file path=docProps/custom.xml><?xml version="1.0" encoding="utf-8"?>
<Properties xmlns="http://schemas.openxmlformats.org/officeDocument/2006/custom-properties" xmlns:vt="http://schemas.openxmlformats.org/officeDocument/2006/docPropsVTypes"/>
</file>