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8C674">
      <w:pPr>
        <w:jc w:val="center"/>
        <w:rPr>
          <w:b/>
          <w:sz w:val="36"/>
          <w:szCs w:val="36"/>
        </w:rPr>
      </w:pPr>
    </w:p>
    <w:p w14:paraId="24D2287C">
      <w:pPr>
        <w:jc w:val="center"/>
        <w:rPr>
          <w:b/>
          <w:sz w:val="36"/>
          <w:szCs w:val="36"/>
        </w:rPr>
      </w:pPr>
    </w:p>
    <w:p w14:paraId="2D67D672">
      <w:pPr>
        <w:jc w:val="center"/>
        <w:rPr>
          <w:rFonts w:ascii="黑体" w:eastAsia="黑体"/>
          <w:sz w:val="44"/>
          <w:szCs w:val="44"/>
        </w:rPr>
      </w:pPr>
      <w:r>
        <w:rPr>
          <w:rFonts w:hint="eastAsia" w:ascii="黑体" w:eastAsia="黑体"/>
          <w:sz w:val="44"/>
          <w:szCs w:val="44"/>
        </w:rPr>
        <w:t>河北工业大学研究生学位论文中期报告</w:t>
      </w:r>
    </w:p>
    <w:p w14:paraId="039A8C24">
      <w:pPr>
        <w:jc w:val="center"/>
        <w:rPr>
          <w:szCs w:val="21"/>
        </w:rPr>
      </w:pPr>
    </w:p>
    <w:p w14:paraId="5AFEE172">
      <w:pPr>
        <w:jc w:val="center"/>
        <w:rPr>
          <w:szCs w:val="21"/>
        </w:rPr>
      </w:pPr>
    </w:p>
    <w:p w14:paraId="7F1BBE3B">
      <w:pPr>
        <w:jc w:val="center"/>
        <w:rPr>
          <w:szCs w:val="21"/>
        </w:rPr>
      </w:pPr>
    </w:p>
    <w:p w14:paraId="665DEC3F">
      <w:pPr>
        <w:jc w:val="center"/>
        <w:rPr>
          <w:szCs w:val="21"/>
        </w:rPr>
      </w:pPr>
    </w:p>
    <w:tbl>
      <w:tblPr>
        <w:tblStyle w:val="14"/>
        <w:tblW w:w="0" w:type="auto"/>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722"/>
      </w:tblGrid>
      <w:tr w14:paraId="5C30D31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C3D0ED2">
            <w:pPr>
              <w:wordWrap w:val="0"/>
              <w:jc w:val="right"/>
              <w:rPr>
                <w:b/>
                <w:sz w:val="28"/>
                <w:szCs w:val="28"/>
                <w:u w:val="single"/>
              </w:rPr>
            </w:pPr>
            <w:bookmarkStart w:id="0" w:name="_Hlk202819090"/>
            <w:r>
              <w:rPr>
                <w:rFonts w:hint="eastAsia"/>
                <w:b/>
                <w:sz w:val="28"/>
                <w:szCs w:val="28"/>
              </w:rPr>
              <w:t>论文题目</w:t>
            </w:r>
          </w:p>
        </w:tc>
        <w:tc>
          <w:tcPr>
            <w:tcW w:w="4722" w:type="dxa"/>
            <w:tcBorders>
              <w:bottom w:val="single" w:color="auto" w:sz="12" w:space="0"/>
            </w:tcBorders>
          </w:tcPr>
          <w:p w14:paraId="0D6E5147">
            <w:pPr>
              <w:spacing w:line="60" w:lineRule="auto"/>
              <w:jc w:val="center"/>
              <w:rPr>
                <w:rFonts w:hint="eastAsia" w:ascii="宋体" w:hAnsi="宋体"/>
                <w:b/>
                <w:sz w:val="28"/>
                <w:szCs w:val="28"/>
              </w:rPr>
            </w:pPr>
            <w:bookmarkStart w:id="1" w:name="OLE_LINK24"/>
            <w:r>
              <w:rPr>
                <w:rFonts w:hint="eastAsia" w:ascii="宋体" w:hAnsi="宋体"/>
                <w:b/>
                <w:sz w:val="28"/>
                <w:szCs w:val="28"/>
              </w:rPr>
              <w:t>基于图对比学习的整合sc-RNA和空间转录组学数据的细胞组成推断研究</w:t>
            </w:r>
            <w:bookmarkEnd w:id="1"/>
          </w:p>
        </w:tc>
      </w:tr>
      <w:bookmarkEnd w:id="0"/>
    </w:tbl>
    <w:p w14:paraId="581F8321">
      <w:pPr>
        <w:jc w:val="center"/>
        <w:rPr>
          <w:szCs w:val="21"/>
        </w:rPr>
      </w:pPr>
    </w:p>
    <w:p w14:paraId="4BF67E67">
      <w:pPr>
        <w:jc w:val="center"/>
        <w:rPr>
          <w:szCs w:val="21"/>
        </w:rPr>
      </w:pPr>
    </w:p>
    <w:p w14:paraId="4A5C0118">
      <w:pPr>
        <w:jc w:val="center"/>
        <w:rPr>
          <w:szCs w:val="21"/>
        </w:rPr>
      </w:pPr>
    </w:p>
    <w:p w14:paraId="46A2E117">
      <w:pPr>
        <w:jc w:val="center"/>
        <w:rPr>
          <w:szCs w:val="21"/>
        </w:rPr>
      </w:pPr>
    </w:p>
    <w:p w14:paraId="71A2145B">
      <w:pPr>
        <w:jc w:val="center"/>
        <w:rPr>
          <w:szCs w:val="21"/>
        </w:rPr>
      </w:pPr>
    </w:p>
    <w:tbl>
      <w:tblPr>
        <w:tblStyle w:val="14"/>
        <w:tblW w:w="0" w:type="auto"/>
        <w:jc w:val="center"/>
        <w:tblBorders>
          <w:top w:val="none" w:color="auto" w:sz="0"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261"/>
      </w:tblGrid>
      <w:tr w14:paraId="7D2A07B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71F3E190">
            <w:pPr>
              <w:wordWrap w:val="0"/>
              <w:jc w:val="right"/>
              <w:rPr>
                <w:b/>
                <w:sz w:val="28"/>
                <w:szCs w:val="28"/>
              </w:rPr>
            </w:pPr>
            <w:r>
              <w:rPr>
                <w:rFonts w:hint="eastAsia"/>
                <w:b/>
                <w:sz w:val="28"/>
                <w:szCs w:val="28"/>
              </w:rPr>
              <w:t>类    别</w:t>
            </w:r>
          </w:p>
        </w:tc>
        <w:tc>
          <w:tcPr>
            <w:tcW w:w="4261" w:type="dxa"/>
            <w:tcBorders>
              <w:bottom w:val="single" w:color="auto" w:sz="12" w:space="0"/>
            </w:tcBorders>
          </w:tcPr>
          <w:p w14:paraId="342150EB">
            <w:pPr>
              <w:jc w:val="center"/>
              <w:rPr>
                <w:b/>
                <w:sz w:val="30"/>
                <w:szCs w:val="30"/>
              </w:rPr>
            </w:pPr>
            <w:r>
              <w:rPr>
                <w:rFonts w:hint="eastAsia"/>
                <w:b/>
                <w:sz w:val="30"/>
                <w:szCs w:val="30"/>
              </w:rPr>
              <w:t>博士</w:t>
            </w:r>
            <w:r>
              <w:rPr>
                <w:rFonts w:hint="eastAsia" w:ascii="宋体" w:hAnsi="宋体"/>
                <w:b/>
                <w:sz w:val="30"/>
                <w:szCs w:val="30"/>
              </w:rPr>
              <w:sym w:font="Wingdings 2" w:char="00A3"/>
            </w:r>
            <w:r>
              <w:rPr>
                <w:rFonts w:hint="eastAsia" w:ascii="宋体" w:hAnsi="宋体"/>
                <w:b/>
                <w:sz w:val="30"/>
                <w:szCs w:val="30"/>
              </w:rPr>
              <w:t xml:space="preserve">  </w:t>
            </w:r>
            <w:r>
              <w:rPr>
                <w:rFonts w:hint="eastAsia"/>
                <w:b/>
                <w:sz w:val="30"/>
                <w:szCs w:val="30"/>
              </w:rPr>
              <w:t>硕士</w:t>
            </w:r>
            <w:r>
              <w:rPr>
                <w:rFonts w:hint="eastAsia" w:ascii="Times New Roman" w:hAnsi="Times New Roman"/>
                <w:b/>
                <w:sz w:val="30"/>
                <w:szCs w:val="30"/>
              </w:rPr>
              <w:sym w:font="Wingdings 2" w:char="0052"/>
            </w:r>
          </w:p>
        </w:tc>
      </w:tr>
      <w:tr w14:paraId="381F4C75">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50779242">
            <w:pPr>
              <w:wordWrap w:val="0"/>
              <w:jc w:val="right"/>
              <w:rPr>
                <w:b/>
                <w:sz w:val="28"/>
                <w:szCs w:val="28"/>
              </w:rPr>
            </w:pPr>
            <w:r>
              <w:rPr>
                <w:rFonts w:hint="eastAsia"/>
                <w:b/>
                <w:sz w:val="28"/>
                <w:szCs w:val="28"/>
              </w:rPr>
              <w:t>所属学院</w:t>
            </w:r>
          </w:p>
        </w:tc>
        <w:tc>
          <w:tcPr>
            <w:tcW w:w="4261" w:type="dxa"/>
            <w:tcBorders>
              <w:top w:val="single" w:color="auto" w:sz="12" w:space="0"/>
              <w:bottom w:val="single" w:color="auto" w:sz="12" w:space="0"/>
            </w:tcBorders>
          </w:tcPr>
          <w:p w14:paraId="1632DB99">
            <w:pPr>
              <w:rPr>
                <w:b/>
                <w:sz w:val="28"/>
                <w:szCs w:val="28"/>
              </w:rPr>
            </w:pPr>
            <w:r>
              <w:rPr>
                <w:rFonts w:ascii="Times New Roman" w:hAnsi="Times New Roman"/>
                <w:b/>
                <w:sz w:val="28"/>
                <w:szCs w:val="28"/>
              </w:rPr>
              <w:t>人工智能与数据科学学院</w:t>
            </w:r>
          </w:p>
        </w:tc>
      </w:tr>
      <w:tr w14:paraId="7EACA0B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23C4F01C">
            <w:pPr>
              <w:jc w:val="right"/>
              <w:rPr>
                <w:b/>
                <w:sz w:val="28"/>
                <w:szCs w:val="28"/>
                <w:u w:val="single"/>
              </w:rPr>
            </w:pPr>
            <w:r>
              <w:rPr>
                <w:rFonts w:hint="eastAsia"/>
                <w:b/>
                <w:sz w:val="28"/>
                <w:szCs w:val="28"/>
              </w:rPr>
              <w:t>学科专业</w:t>
            </w:r>
          </w:p>
        </w:tc>
        <w:tc>
          <w:tcPr>
            <w:tcW w:w="4261" w:type="dxa"/>
            <w:tcBorders>
              <w:top w:val="single" w:color="auto" w:sz="12" w:space="0"/>
              <w:bottom w:val="single" w:color="auto" w:sz="12" w:space="0"/>
            </w:tcBorders>
          </w:tcPr>
          <w:p w14:paraId="553C2036">
            <w:pPr>
              <w:jc w:val="center"/>
              <w:rPr>
                <w:b/>
                <w:sz w:val="28"/>
                <w:szCs w:val="28"/>
              </w:rPr>
            </w:pPr>
            <w:r>
              <w:rPr>
                <w:rFonts w:hint="eastAsia"/>
                <w:b/>
                <w:sz w:val="28"/>
                <w:szCs w:val="28"/>
              </w:rPr>
              <w:t>计算机科学与技术</w:t>
            </w:r>
          </w:p>
        </w:tc>
      </w:tr>
      <w:tr w14:paraId="217423F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F9F6CCB">
            <w:pPr>
              <w:jc w:val="right"/>
              <w:rPr>
                <w:b/>
                <w:sz w:val="28"/>
                <w:szCs w:val="28"/>
                <w:u w:val="single"/>
              </w:rPr>
            </w:pPr>
            <w:r>
              <w:rPr>
                <w:rFonts w:hint="eastAsia"/>
                <w:b/>
                <w:sz w:val="28"/>
                <w:szCs w:val="28"/>
              </w:rPr>
              <w:t>研究方向</w:t>
            </w:r>
          </w:p>
        </w:tc>
        <w:tc>
          <w:tcPr>
            <w:tcW w:w="4261" w:type="dxa"/>
            <w:tcBorders>
              <w:top w:val="single" w:color="auto" w:sz="12" w:space="0"/>
              <w:bottom w:val="single" w:color="auto" w:sz="12" w:space="0"/>
            </w:tcBorders>
          </w:tcPr>
          <w:p w14:paraId="621D8495">
            <w:pPr>
              <w:jc w:val="center"/>
              <w:rPr>
                <w:b/>
                <w:sz w:val="28"/>
                <w:szCs w:val="28"/>
              </w:rPr>
            </w:pPr>
            <w:r>
              <w:rPr>
                <w:rFonts w:hint="eastAsia"/>
                <w:b/>
                <w:sz w:val="28"/>
                <w:szCs w:val="28"/>
              </w:rPr>
              <w:t>生物信息学</w:t>
            </w:r>
          </w:p>
        </w:tc>
      </w:tr>
      <w:tr w14:paraId="30701AE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Pr>
          <w:p w14:paraId="7F959545">
            <w:pPr>
              <w:jc w:val="right"/>
              <w:rPr>
                <w:b/>
                <w:sz w:val="28"/>
                <w:szCs w:val="28"/>
                <w:u w:val="single"/>
              </w:rPr>
            </w:pPr>
            <w:r>
              <w:rPr>
                <w:rFonts w:hint="eastAsia"/>
                <w:b/>
                <w:sz w:val="28"/>
                <w:szCs w:val="28"/>
              </w:rPr>
              <w:t>导师姓名</w:t>
            </w:r>
          </w:p>
        </w:tc>
        <w:tc>
          <w:tcPr>
            <w:tcW w:w="4261" w:type="dxa"/>
            <w:tcBorders>
              <w:top w:val="single" w:color="auto" w:sz="12" w:space="0"/>
              <w:bottom w:val="single" w:color="auto" w:sz="12" w:space="0"/>
            </w:tcBorders>
          </w:tcPr>
          <w:p w14:paraId="288C7BA4">
            <w:pPr>
              <w:jc w:val="center"/>
              <w:rPr>
                <w:b/>
                <w:sz w:val="28"/>
                <w:szCs w:val="28"/>
              </w:rPr>
            </w:pPr>
            <w:r>
              <w:rPr>
                <w:rFonts w:hint="eastAsia"/>
                <w:b/>
                <w:sz w:val="28"/>
                <w:szCs w:val="28"/>
              </w:rPr>
              <w:t>董瑶</w:t>
            </w:r>
          </w:p>
        </w:tc>
      </w:tr>
      <w:tr w14:paraId="0CCC1DA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Pr>
          <w:p w14:paraId="57C58921">
            <w:pPr>
              <w:wordWrap w:val="0"/>
              <w:jc w:val="right"/>
              <w:rPr>
                <w:b/>
                <w:sz w:val="28"/>
                <w:szCs w:val="28"/>
                <w:u w:val="single"/>
              </w:rPr>
            </w:pPr>
            <w:r>
              <w:rPr>
                <w:rFonts w:hint="eastAsia"/>
                <w:b/>
                <w:sz w:val="28"/>
                <w:szCs w:val="28"/>
              </w:rPr>
              <w:t>学    号</w:t>
            </w:r>
          </w:p>
        </w:tc>
        <w:tc>
          <w:tcPr>
            <w:tcW w:w="4261" w:type="dxa"/>
            <w:tcBorders>
              <w:top w:val="single" w:color="auto" w:sz="12" w:space="0"/>
              <w:bottom w:val="single" w:color="auto" w:sz="12" w:space="0"/>
            </w:tcBorders>
          </w:tcPr>
          <w:p w14:paraId="502A9612">
            <w:pPr>
              <w:jc w:val="center"/>
              <w:rPr>
                <w:b/>
                <w:sz w:val="28"/>
                <w:szCs w:val="28"/>
              </w:rPr>
            </w:pPr>
            <w:r>
              <w:rPr>
                <w:rFonts w:hint="eastAsia"/>
                <w:b/>
                <w:sz w:val="28"/>
                <w:szCs w:val="28"/>
              </w:rPr>
              <w:t>202322802019</w:t>
            </w:r>
          </w:p>
        </w:tc>
      </w:tr>
      <w:tr w14:paraId="67D4BB9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0D99BBAD">
            <w:pPr>
              <w:wordWrap w:val="0"/>
              <w:jc w:val="right"/>
              <w:rPr>
                <w:b/>
                <w:sz w:val="28"/>
                <w:szCs w:val="28"/>
                <w:u w:val="single"/>
              </w:rPr>
            </w:pPr>
            <w:r>
              <w:rPr>
                <w:rFonts w:hint="eastAsia"/>
                <w:b/>
                <w:sz w:val="28"/>
                <w:szCs w:val="28"/>
              </w:rPr>
              <w:t>姓    名</w:t>
            </w:r>
          </w:p>
        </w:tc>
        <w:tc>
          <w:tcPr>
            <w:tcW w:w="4261" w:type="dxa"/>
            <w:tcBorders>
              <w:top w:val="single" w:color="auto" w:sz="12" w:space="0"/>
              <w:bottom w:val="single" w:color="auto" w:sz="12" w:space="0"/>
            </w:tcBorders>
          </w:tcPr>
          <w:p w14:paraId="5DC19DEF">
            <w:pPr>
              <w:jc w:val="center"/>
              <w:rPr>
                <w:b/>
                <w:sz w:val="28"/>
                <w:szCs w:val="28"/>
              </w:rPr>
            </w:pPr>
            <w:r>
              <w:rPr>
                <w:rFonts w:hint="eastAsia"/>
                <w:b/>
                <w:sz w:val="28"/>
                <w:szCs w:val="28"/>
              </w:rPr>
              <w:t>艾涵桢</w:t>
            </w:r>
          </w:p>
        </w:tc>
      </w:tr>
    </w:tbl>
    <w:p w14:paraId="672E04B8">
      <w:pPr>
        <w:jc w:val="center"/>
        <w:rPr>
          <w:szCs w:val="21"/>
        </w:rPr>
      </w:pPr>
    </w:p>
    <w:p w14:paraId="6B77F7C2">
      <w:pPr>
        <w:jc w:val="center"/>
        <w:rPr>
          <w:szCs w:val="21"/>
        </w:rPr>
      </w:pPr>
    </w:p>
    <w:p w14:paraId="7468C369">
      <w:pPr>
        <w:jc w:val="center"/>
        <w:rPr>
          <w:szCs w:val="21"/>
        </w:rPr>
      </w:pPr>
    </w:p>
    <w:p w14:paraId="721D8FBF">
      <w:pPr>
        <w:jc w:val="center"/>
        <w:rPr>
          <w:szCs w:val="21"/>
        </w:rPr>
      </w:pPr>
    </w:p>
    <w:tbl>
      <w:tblPr>
        <w:tblStyle w:val="1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00"/>
        <w:gridCol w:w="918"/>
        <w:gridCol w:w="918"/>
      </w:tblGrid>
      <w:tr w14:paraId="53CFA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00" w:type="dxa"/>
          </w:tcPr>
          <w:p w14:paraId="73209549">
            <w:pPr>
              <w:jc w:val="right"/>
              <w:rPr>
                <w:b/>
                <w:sz w:val="28"/>
                <w:szCs w:val="28"/>
              </w:rPr>
            </w:pPr>
            <w:r>
              <w:rPr>
                <w:rFonts w:hint="eastAsia"/>
                <w:b/>
                <w:sz w:val="28"/>
                <w:szCs w:val="28"/>
              </w:rPr>
              <w:t>2025年</w:t>
            </w:r>
          </w:p>
        </w:tc>
        <w:tc>
          <w:tcPr>
            <w:tcW w:w="918" w:type="dxa"/>
          </w:tcPr>
          <w:p w14:paraId="440BF7F2">
            <w:pPr>
              <w:jc w:val="right"/>
              <w:rPr>
                <w:b/>
                <w:sz w:val="28"/>
                <w:szCs w:val="28"/>
              </w:rPr>
            </w:pPr>
            <w:r>
              <w:rPr>
                <w:rFonts w:hint="eastAsia"/>
                <w:b/>
                <w:sz w:val="28"/>
                <w:szCs w:val="28"/>
              </w:rPr>
              <w:t>6月</w:t>
            </w:r>
          </w:p>
        </w:tc>
        <w:tc>
          <w:tcPr>
            <w:tcW w:w="918" w:type="dxa"/>
          </w:tcPr>
          <w:p w14:paraId="1A33E472">
            <w:pPr>
              <w:jc w:val="right"/>
              <w:rPr>
                <w:b/>
                <w:sz w:val="28"/>
                <w:szCs w:val="28"/>
              </w:rPr>
            </w:pPr>
            <w:r>
              <w:rPr>
                <w:rFonts w:hint="eastAsia"/>
                <w:b/>
                <w:sz w:val="28"/>
                <w:szCs w:val="28"/>
              </w:rPr>
              <w:t>21日</w:t>
            </w:r>
          </w:p>
        </w:tc>
      </w:tr>
    </w:tbl>
    <w:p w14:paraId="5F77C05A">
      <w:pPr>
        <w:jc w:val="center"/>
        <w:rPr>
          <w:b/>
          <w:sz w:val="28"/>
          <w:szCs w:val="28"/>
        </w:rPr>
        <w:sectPr>
          <w:headerReference r:id="rId3" w:type="default"/>
          <w:footerReference r:id="rId4" w:type="default"/>
          <w:pgSz w:w="11906" w:h="16838"/>
          <w:pgMar w:top="2025" w:right="1800" w:bottom="1440" w:left="1800" w:header="851" w:footer="992" w:gutter="0"/>
          <w:cols w:space="720" w:num="1"/>
          <w:titlePg/>
          <w:docGrid w:type="lines" w:linePitch="312" w:charSpace="0"/>
        </w:sectPr>
      </w:pPr>
    </w:p>
    <w:p w14:paraId="18537933">
      <w:pPr>
        <w:pStyle w:val="30"/>
        <w:numPr>
          <w:ilvl w:val="0"/>
          <w:numId w:val="2"/>
        </w:numPr>
        <w:wordWrap w:val="0"/>
        <w:spacing w:line="360" w:lineRule="auto"/>
        <w:ind w:firstLineChars="0"/>
        <w:outlineLvl w:val="0"/>
        <w:rPr>
          <w:rFonts w:hint="eastAsia" w:ascii="黑体" w:hAnsi="黑体" w:eastAsia="黑体"/>
          <w:sz w:val="36"/>
          <w:szCs w:val="36"/>
        </w:rPr>
      </w:pPr>
      <w:r>
        <w:rPr>
          <w:rFonts w:ascii="黑体" w:hAnsi="黑体" w:eastAsia="黑体"/>
          <w:sz w:val="36"/>
          <w:szCs w:val="36"/>
        </w:rPr>
        <w:t>问题的提出</w:t>
      </w:r>
    </w:p>
    <w:p w14:paraId="109FB305">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癌症分型旨在依据患者的分子特征识别不同肿瘤亚型，是精准医学中辅助治疗选择和预后评估的重要任务[1]。随着TCGA等公共数据库的建立，基因表达、DNA甲基化和miRNA表达等多组学数据为癌症亚型识别提供了更丰富的分子信息[2]。相较于单一组学，多组学数据能够从多个分子层面共同刻画同一批患者样本，有助于提高癌症亚型识别的准确性[3]。然而，多组学癌症分型并不只是多源数据融合问题，实际建模中还受到数据不平衡的制约。</w:t>
      </w:r>
      <w:bookmarkStart w:id="109" w:name="_GoBack"/>
      <w:bookmarkEnd w:id="109"/>
    </w:p>
    <w:p w14:paraId="750EC0C8">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多组学癌症数据中的不平衡具有多层次特征。首先，不同癌症亚型的样本数量差异较大，少数类亚型在监督训练中容易被多数类主导[4]。其次，不同组学模态在特征维度、稀疏程度和信息含量上存在明显差异，直接融合时模型可能偏向高维度或高信息量模态，从而削弱其他模态中的有效信号[5]。此外，当患者样本被构造成图结构后，少数类节点往往处于连接不足或传播位置不利的区域，在图卷积消息传递过程中获得的邻域信息和监督信号相对有限[6]。因此，非平衡多组学癌症分型问题不仅体现在类别数量差异上，也体现在特征表达差异和图拓扑传播差异中。</w:t>
      </w:r>
    </w:p>
    <w:p w14:paraId="7550A1E5">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现有类别不平衡处理方法主要包括数据层面的重采样、算法层面的代价敏感学习以及集成策略[7]。例如，SMOTE通过在特征空间插值生成少数类样本缓解类别比例差异[8]，Focal Loss等损失函数通过调整样本权重增强模型对难分类样本的关注[9-10]，集成方法则通过多个重采样子集提升分类稳定性[7]。这些方法能够在一定程度上缓解类别数量差异，但多数方法通常只将类别划分为少数类和多数类[11]。对于癌症分型任务而言，中间规模亚型并不少见，简单二分会将中等规模类别粗略并入多数类或少数类，难以描述类别规模的连续变化，也难以为后续特征增强和图结构调整提供细粒度依据。</w:t>
      </w:r>
    </w:p>
    <w:p w14:paraId="51FCCC3A">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多组学融合方法则主要围绕特征提取和跨模态信息整合展开。基于自编码器的方法通常将不同组学模态映射到统一低维空间[12]，MOGONET利用多视图图卷积网络分别学习不同组学模态中的患者表示并进行跨组学融合[13]，MOHGCN通过异质图建模样本与基因之间的高阶关联[14]。这些方法推动了多组学癌症分型研究[15]，但其重点多放在多模态表示学习和融合策略上，对少数类特征在高维稀疏空间中的分布偏斜、图结构中少数类节点的传播劣势，以及类别不平衡与多组学融合之间的耦合关系处理不足。</w:t>
      </w:r>
    </w:p>
    <w:p w14:paraId="3B3EB999">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综上，非平衡多组学癌症分型仍面临三个主要问题：一是类别规模差异导致模型容易偏向多数类亚型；二是不同组学模态之间的维度、稀疏性和信息含量差异增加了平衡特征提取的难度；三是图结构建模过程中少数类节点可能处于传播不利位置，影响其表示学习效果。因此，研究一种能够同时考虑类别、特征和拓扑不平衡的多组学癌症分型方法，对于提高癌症亚型识别的准确性和稳定性具有重要意义。</w:t>
      </w:r>
    </w:p>
    <w:p w14:paraId="5220A258">
      <w:pPr>
        <w:spacing w:line="360" w:lineRule="auto"/>
        <w:outlineLvl w:val="0"/>
        <w:rPr>
          <w:rFonts w:hint="eastAsia" w:ascii="黑体" w:hAnsi="黑体" w:eastAsia="黑体"/>
          <w:sz w:val="36"/>
          <w:szCs w:val="36"/>
        </w:rPr>
      </w:pPr>
      <w:r>
        <w:rPr>
          <w:rFonts w:ascii="黑体" w:hAnsi="黑体" w:eastAsia="黑体"/>
          <w:sz w:val="36"/>
          <w:szCs w:val="36"/>
        </w:rPr>
        <w:t>二、课题研究内容</w:t>
      </w:r>
    </w:p>
    <w:p w14:paraId="4900E78E">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1 </w:t>
      </w:r>
      <w:r>
        <w:rPr>
          <w:rFonts w:ascii="黑体" w:hAnsi="黑体" w:eastAsia="黑体"/>
          <w:sz w:val="32"/>
          <w:szCs w:val="32"/>
        </w:rPr>
        <w:t>主要研究内容</w:t>
      </w:r>
    </w:p>
    <w:p w14:paraId="18A27DA0">
      <w:pPr>
        <w:spacing w:line="360" w:lineRule="auto"/>
        <w:ind w:firstLine="480" w:firstLineChars="200"/>
        <w:rPr>
          <w:rFonts w:hint="eastAsia" w:ascii="Times New Roman" w:hAnsi="Times New Roman"/>
          <w:sz w:val="24"/>
        </w:rPr>
      </w:pPr>
      <w:bookmarkStart w:id="2" w:name="OLE_LINK50"/>
      <w:r>
        <w:rPr>
          <w:rFonts w:hint="eastAsia" w:ascii="Times New Roman" w:hAnsi="Times New Roman"/>
          <w:sz w:val="24"/>
        </w:rPr>
        <w:t>针对上述问题，本课题提出一种基于三分类引导多维图增强对比学习的癌症分型方法（Tri-class Guided Multi-dimensional Graph Enhanced Contrastive Learning for Imbalanced Cancer Subtyping，TRIGEL）。该方法面向不平衡多组学癌症分型任务，目标是在提高亚型识别性能的同时，减弱类别规模、模态特征和图结构传播差异对模型训练的影响。</w:t>
      </w:r>
    </w:p>
    <w:p w14:paraId="1E787FFC">
      <w:pPr>
        <w:spacing w:line="360" w:lineRule="auto"/>
        <w:ind w:firstLine="480" w:firstLineChars="200"/>
        <w:rPr>
          <w:rFonts w:ascii="Times New Roman" w:hAnsi="Times New Roman"/>
          <w:sz w:val="24"/>
        </w:rPr>
      </w:pPr>
      <w:r>
        <w:rPr>
          <w:rFonts w:hint="eastAsia" w:ascii="Times New Roman" w:hAnsi="Times New Roman"/>
          <w:sz w:val="24"/>
        </w:rPr>
        <w:t>TRIGEL 以多组学患者相似图为基础，主要包括三分类引导分层、多维图增强和对比融合分类三个部分。模型首先根据训练集中各亚型的样本比例进行类别分层，为后续增强提供依据；然后从特征和拓扑两个层面对患者图进行调整；最后通过对比学习和多组学注意力融合获得患者表示，用于癌症亚型预测。</w:t>
      </w:r>
    </w:p>
    <w:bookmarkEnd w:id="2"/>
    <w:p w14:paraId="5BE8EBEF">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2 </w:t>
      </w:r>
      <w:r>
        <w:rPr>
          <w:rFonts w:ascii="黑体" w:hAnsi="黑体" w:eastAsia="黑体"/>
          <w:sz w:val="32"/>
          <w:szCs w:val="32"/>
        </w:rPr>
        <w:t>研究的创新性</w:t>
      </w:r>
    </w:p>
    <w:p w14:paraId="11B010C9">
      <w:pPr>
        <w:spacing w:line="360" w:lineRule="auto"/>
        <w:ind w:firstLine="480" w:firstLineChars="200"/>
        <w:rPr>
          <w:rFonts w:ascii="Times New Roman" w:hAnsi="Times New Roman"/>
          <w:sz w:val="24"/>
        </w:rPr>
      </w:pPr>
      <w:bookmarkStart w:id="3" w:name="OLE_LINK1"/>
      <w:r>
        <w:rPr>
          <w:rFonts w:hint="eastAsia" w:ascii="Times New Roman" w:hAnsi="Times New Roman"/>
          <w:sz w:val="24"/>
        </w:rPr>
        <w:t>（1）</w:t>
      </w:r>
      <w:bookmarkStart w:id="4" w:name="OLE_LINK51"/>
      <w:r>
        <w:rPr>
          <w:rFonts w:hint="eastAsia" w:ascii="Times New Roman" w:hAnsi="Times New Roman"/>
          <w:sz w:val="24"/>
        </w:rPr>
        <w:t>针对合成的空间数据与真实空间数据之间的分布差异性问题，引入真实空间转录组学数据的空间信息，先计算细胞和参考空间数据之间的特征相似性，根据它们的相似关系将真实空间数据的空间位置信息转移到细胞上，将scRNA-seq数据合成为更贴近真实空间分布的伪spot，以便更好的利用scRNA-seq数据的信息进行细胞组成推断。</w:t>
      </w:r>
      <w:r>
        <w:rPr>
          <w:rFonts w:ascii="Times New Roman" w:hAnsi="Times New Roman"/>
          <w:sz w:val="24"/>
        </w:rPr>
        <w:t xml:space="preserve"> </w:t>
      </w:r>
    </w:p>
    <w:p w14:paraId="00A35C89">
      <w:pPr>
        <w:spacing w:line="360" w:lineRule="auto"/>
        <w:ind w:firstLine="480" w:firstLineChars="200"/>
        <w:rPr>
          <w:rFonts w:ascii="Times New Roman" w:hAnsi="Times New Roman"/>
          <w:sz w:val="24"/>
        </w:rPr>
      </w:pPr>
      <w:r>
        <w:rPr>
          <w:rFonts w:hint="eastAsia" w:ascii="Times New Roman" w:hAnsi="Times New Roman"/>
          <w:sz w:val="24"/>
        </w:rPr>
        <w:t>（</w:t>
      </w:r>
      <w:r>
        <w:rPr>
          <w:rFonts w:ascii="Times New Roman" w:hAnsi="Times New Roman"/>
          <w:sz w:val="24"/>
        </w:rPr>
        <w:t>2</w:t>
      </w:r>
      <w:r>
        <w:rPr>
          <w:rFonts w:hint="eastAsia" w:ascii="Times New Roman" w:hAnsi="Times New Roman"/>
          <w:sz w:val="24"/>
        </w:rPr>
        <w:t>）针对现有构图无法捕获到数据之间的潜在关系的问题，构建细胞与 spot 和细胞与伪spot的异质图，基于元路径挖掘 spot 间的潜在关系，丰富空间数据的表达结构，增强节点之间的语义关联，学习更多节点之间的结构信息。</w:t>
      </w:r>
    </w:p>
    <w:p w14:paraId="2DF053EB">
      <w:pPr>
        <w:spacing w:line="360" w:lineRule="auto"/>
        <w:ind w:firstLine="480" w:firstLineChars="200"/>
        <w:rPr>
          <w:rFonts w:ascii="Times New Roman" w:hAnsi="Times New Roman"/>
          <w:sz w:val="24"/>
          <w:szCs w:val="30"/>
        </w:rPr>
      </w:pPr>
      <w:r>
        <w:rPr>
          <w:rFonts w:hint="eastAsia" w:ascii="Times New Roman" w:hAnsi="Times New Roman"/>
          <w:sz w:val="24"/>
          <w:szCs w:val="30"/>
        </w:rPr>
        <w:t>（3）针对无法充分结合scRNA-seq和空间转录组学数据以学习数据间一致性信息的问题，设计结构化图对比学习模块，使用图卷积网对不同模态的数据进行特征增强，从多视角对真实与伪 ST 图结构进行对比，提取共享表示，同时保留细胞类型特异性特征，从而提升细胞组成推断的性能和鲁棒性。</w:t>
      </w:r>
    </w:p>
    <w:bookmarkEnd w:id="3"/>
    <w:bookmarkEnd w:id="4"/>
    <w:p w14:paraId="5E99FF2F">
      <w:pPr>
        <w:spacing w:line="360" w:lineRule="auto"/>
        <w:outlineLvl w:val="0"/>
        <w:rPr>
          <w:rFonts w:hint="eastAsia" w:ascii="黑体" w:hAnsi="黑体" w:eastAsia="黑体"/>
          <w:sz w:val="36"/>
          <w:szCs w:val="36"/>
        </w:rPr>
      </w:pPr>
      <w:r>
        <w:rPr>
          <w:rFonts w:ascii="黑体" w:hAnsi="黑体" w:eastAsia="黑体"/>
          <w:sz w:val="36"/>
          <w:szCs w:val="36"/>
        </w:rPr>
        <w:t>三、研究进展及阶段性成果</w:t>
      </w:r>
    </w:p>
    <w:p w14:paraId="54DF848A">
      <w:pPr>
        <w:spacing w:before="240" w:after="240" w:line="360" w:lineRule="auto"/>
        <w:outlineLvl w:val="1"/>
        <w:rPr>
          <w:rFonts w:hint="eastAsia" w:ascii="黑体" w:hAnsi="黑体" w:eastAsia="黑体"/>
          <w:sz w:val="32"/>
          <w:szCs w:val="32"/>
        </w:rPr>
      </w:pPr>
      <w:r>
        <w:rPr>
          <w:rFonts w:ascii="黑体" w:hAnsi="黑体" w:eastAsia="黑体"/>
          <w:sz w:val="32"/>
          <w:szCs w:val="32"/>
        </w:rPr>
        <w:t>3.</w:t>
      </w:r>
      <w:r>
        <w:rPr>
          <w:rFonts w:hint="eastAsia" w:ascii="黑体" w:hAnsi="黑体" w:eastAsia="黑体"/>
          <w:sz w:val="32"/>
          <w:szCs w:val="32"/>
        </w:rPr>
        <w:t xml:space="preserve">1 </w:t>
      </w:r>
      <w:r>
        <w:rPr>
          <w:rFonts w:ascii="黑体" w:hAnsi="黑体" w:eastAsia="黑体"/>
          <w:sz w:val="32"/>
          <w:szCs w:val="32"/>
        </w:rPr>
        <w:t>课题研究进展</w:t>
      </w:r>
    </w:p>
    <w:p w14:paraId="4E4DDD30">
      <w:pPr>
        <w:autoSpaceDE w:val="0"/>
        <w:autoSpaceDN w:val="0"/>
        <w:adjustRightInd w:val="0"/>
        <w:spacing w:line="360" w:lineRule="auto"/>
        <w:ind w:firstLine="480" w:firstLineChars="200"/>
        <w:jc w:val="left"/>
        <w:rPr>
          <w:rFonts w:ascii="Times New Roman" w:hAnsi="Times New Roman"/>
          <w:sz w:val="24"/>
        </w:rPr>
      </w:pPr>
      <w:r>
        <w:rPr>
          <w:rFonts w:hint="eastAsia" w:ascii="Times New Roman" w:hAnsi="Times New Roman"/>
          <w:sz w:val="24"/>
        </w:rPr>
        <w:t>基于图对比学习的整合单细胞测序数据和空间转录组学数据的空间细胞组成推断算法的模型图如图1所示。</w:t>
      </w:r>
      <w:r>
        <w:drawing>
          <wp:inline distT="0" distB="0" distL="0" distR="0">
            <wp:extent cx="5188585" cy="2621915"/>
            <wp:effectExtent l="0" t="0" r="0" b="6985"/>
            <wp:docPr id="1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263356" cy="2660179"/>
                    </a:xfrm>
                    <a:prstGeom prst="rect">
                      <a:avLst/>
                    </a:prstGeom>
                    <a:noFill/>
                    <a:ln>
                      <a:noFill/>
                    </a:ln>
                  </pic:spPr>
                </pic:pic>
              </a:graphicData>
            </a:graphic>
          </wp:inline>
        </w:drawing>
      </w:r>
    </w:p>
    <w:p w14:paraId="1BF57289">
      <w:pPr>
        <w:spacing w:line="300" w:lineRule="auto"/>
        <w:ind w:firstLine="420" w:firstLineChars="200"/>
        <w:jc w:val="center"/>
        <w:rPr>
          <w:bCs/>
          <w:szCs w:val="21"/>
        </w:rPr>
      </w:pPr>
      <w:r>
        <w:rPr>
          <w:rFonts w:hint="eastAsia"/>
          <w:bCs/>
          <w:szCs w:val="21"/>
        </w:rPr>
        <w:t>图</w:t>
      </w:r>
      <w:r>
        <w:rPr>
          <w:bCs/>
          <w:szCs w:val="21"/>
        </w:rPr>
        <w:t>1</w:t>
      </w:r>
      <w:r>
        <w:rPr>
          <w:rFonts w:hint="eastAsia"/>
          <w:bCs/>
          <w:szCs w:val="21"/>
        </w:rPr>
        <w:t xml:space="preserve"> 基于图对比学习的整合单细胞测序数据和空间转录组学数据的</w:t>
      </w:r>
    </w:p>
    <w:p w14:paraId="48B3F247">
      <w:pPr>
        <w:spacing w:line="300" w:lineRule="auto"/>
        <w:ind w:firstLine="420" w:firstLineChars="200"/>
        <w:jc w:val="center"/>
        <w:rPr>
          <w:bCs/>
          <w:szCs w:val="21"/>
        </w:rPr>
      </w:pPr>
      <w:r>
        <w:rPr>
          <w:rFonts w:hint="eastAsia"/>
          <w:bCs/>
          <w:szCs w:val="21"/>
        </w:rPr>
        <w:t>细胞组成推断方法模型图</w:t>
      </w:r>
    </w:p>
    <w:p w14:paraId="5E8299A1">
      <w:pPr>
        <w:spacing w:line="300" w:lineRule="auto"/>
        <w:ind w:firstLine="480" w:firstLineChars="200"/>
        <w:jc w:val="center"/>
        <w:rPr>
          <w:rFonts w:ascii="Times New Roman" w:hAnsi="Times New Roman"/>
          <w:kern w:val="0"/>
          <w:sz w:val="24"/>
          <w:lang w:bidi="ar"/>
        </w:rPr>
      </w:pPr>
    </w:p>
    <w:p w14:paraId="04AF3F6D">
      <w:pPr>
        <w:autoSpaceDE w:val="0"/>
        <w:autoSpaceDN w:val="0"/>
        <w:adjustRightInd w:val="0"/>
        <w:spacing w:line="360" w:lineRule="auto"/>
        <w:ind w:firstLine="480" w:firstLineChars="200"/>
        <w:rPr>
          <w:rFonts w:ascii="Times New Roman" w:hAnsi="Times New Roman"/>
          <w:sz w:val="24"/>
        </w:rPr>
      </w:pPr>
      <w:r>
        <w:rPr>
          <w:rFonts w:hint="eastAsia" w:ascii="Times New Roman" w:hAnsi="Times New Roman"/>
          <w:sz w:val="24"/>
        </w:rPr>
        <w:t>本课题模型主要包括低维空间数据模拟模块、异质多维网络构建模块和结构化图对比学习模块三个模块。低维空间数据模拟模块使用scRNA-seq数据参考空间信息合成伪spot，异质多维网络构建模块学习特征关系捕获节点潜在关系，结构化对比学习模块学习伪spot和spot之间的共性结构信息优化细胞组成推断性能。</w:t>
      </w:r>
    </w:p>
    <w:p w14:paraId="5E8AE088">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1低维空间数据模拟模块</w:t>
      </w:r>
    </w:p>
    <w:p w14:paraId="10D4B852">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3.1.1.1 数据预处理和特征选择</w:t>
      </w:r>
    </w:p>
    <w:p w14:paraId="6C60F459">
      <w:pPr>
        <w:widowControl/>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对scRNA-seq数据首先去除线粒体基因含量高的细胞，然后使用命令 “scanpy.pp.normalize_total”</w:t>
      </w:r>
      <w:r>
        <w:rPr>
          <w:rFonts w:ascii="Times New Roman" w:hAnsi="Times New Roman"/>
          <w:kern w:val="0"/>
          <w:sz w:val="24"/>
          <w:vertAlign w:val="superscript"/>
          <w:lang w:bidi="ar"/>
        </w:rPr>
        <w:fldChar w:fldCharType="begin"/>
      </w:r>
      <w:r>
        <w:rPr>
          <w:rFonts w:ascii="Times New Roman" w:hAnsi="Times New Roman"/>
          <w:kern w:val="0"/>
          <w:sz w:val="24"/>
          <w:vertAlign w:val="superscript"/>
          <w:lang w:bidi="ar"/>
        </w:rPr>
        <w:instrText xml:space="preserve"> </w:instrText>
      </w:r>
      <w:r>
        <w:rPr>
          <w:rFonts w:hint="eastAsia" w:ascii="Times New Roman" w:hAnsi="Times New Roman"/>
          <w:kern w:val="0"/>
          <w:sz w:val="24"/>
          <w:vertAlign w:val="superscript"/>
          <w:lang w:bidi="ar"/>
        </w:rPr>
        <w:instrText xml:space="preserve">REF _Ref202174194 \r \h</w:instrText>
      </w:r>
      <w:r>
        <w:rPr>
          <w:rFonts w:ascii="Times New Roman" w:hAnsi="Times New Roman"/>
          <w:kern w:val="0"/>
          <w:sz w:val="24"/>
          <w:vertAlign w:val="superscript"/>
          <w:lang w:bidi="ar"/>
        </w:rPr>
        <w:instrText xml:space="preserve">  \* MERGEFORMAT </w:instrText>
      </w:r>
      <w:r>
        <w:rPr>
          <w:rFonts w:ascii="Times New Roman" w:hAnsi="Times New Roman"/>
          <w:kern w:val="0"/>
          <w:sz w:val="24"/>
          <w:vertAlign w:val="superscript"/>
          <w:lang w:bidi="ar"/>
        </w:rPr>
        <w:fldChar w:fldCharType="separate"/>
      </w:r>
      <w:r>
        <w:rPr>
          <w:rFonts w:ascii="Times New Roman" w:hAnsi="Times New Roman"/>
          <w:kern w:val="0"/>
          <w:sz w:val="24"/>
          <w:vertAlign w:val="superscript"/>
          <w:lang w:bidi="ar"/>
        </w:rPr>
        <w:t>[41]</w:t>
      </w:r>
      <w:r>
        <w:rPr>
          <w:rFonts w:ascii="Times New Roman" w:hAnsi="Times New Roman"/>
          <w:kern w:val="0"/>
          <w:sz w:val="24"/>
          <w:vertAlign w:val="superscript"/>
          <w:lang w:bidi="ar"/>
        </w:rPr>
        <w:fldChar w:fldCharType="end"/>
      </w:r>
      <w:r>
        <w:rPr>
          <w:rFonts w:hint="eastAsia" w:ascii="Times New Roman" w:hAnsi="Times New Roman"/>
          <w:kern w:val="0"/>
          <w:sz w:val="24"/>
          <w:lang w:bidi="ar"/>
        </w:rPr>
        <w:t>对基因表达矩阵进行归一化，校正文库大小，使每个细胞的表达总量和为1，然后排除掉表达量少于5个基因的细胞，过滤掉在少于一个细胞数量中检测到的基因，删除少于两个细胞的细胞类型，</w:t>
      </w:r>
      <w:r>
        <w:rPr>
          <w:rFonts w:hint="eastAsia" w:ascii="Times New Roman" w:hAnsi="Times New Roman"/>
          <w:sz w:val="24"/>
        </w:rPr>
        <w:t xml:space="preserve"> scRNA-seq数据矩阵</w:t>
      </w:r>
      <m:oMath>
        <m:r>
          <m:rPr/>
          <w:rPr>
            <w:rFonts w:ascii="Cambria Math" w:hAnsi="Cambria Math"/>
            <w:sz w:val="24"/>
          </w:rPr>
          <m:t>C</m:t>
        </m:r>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R</m:t>
            </m:r>
            <m:ctrlPr>
              <w:rPr>
                <w:rFonts w:ascii="Cambria Math" w:hAnsi="Cambria Math"/>
                <w:sz w:val="24"/>
              </w:rPr>
            </m:ctrlPr>
          </m:e>
          <m:sup>
            <m:r>
              <m:rPr/>
              <w:rPr>
                <w:rFonts w:ascii="Cambria Math" w:hAnsi="Cambria Math"/>
                <w:sz w:val="24"/>
              </w:rPr>
              <m:t>c</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w:t>
      </w:r>
      <w:r>
        <w:rPr>
          <w:rFonts w:hint="eastAsia" w:ascii="Times New Roman" w:hAnsi="Times New Roman"/>
          <w:i/>
          <w:iCs/>
          <w:sz w:val="24"/>
        </w:rPr>
        <w:t>c</w:t>
      </w:r>
      <w:r>
        <w:rPr>
          <w:rFonts w:hint="eastAsia" w:ascii="Times New Roman" w:hAnsi="Times New Roman"/>
          <w:sz w:val="24"/>
        </w:rPr>
        <w:t>为细胞的数量，</w:t>
      </w:r>
      <w:r>
        <w:rPr>
          <w:rFonts w:hint="eastAsia" w:ascii="Times New Roman" w:hAnsi="Times New Roman"/>
          <w:i/>
          <w:iCs/>
          <w:sz w:val="24"/>
        </w:rPr>
        <w:t>g</w:t>
      </w:r>
      <w:r>
        <w:rPr>
          <w:rFonts w:hint="eastAsia" w:ascii="Times New Roman" w:hAnsi="Times New Roman"/>
          <w:sz w:val="24"/>
        </w:rPr>
        <w:t>是基因是数量</w:t>
      </w:r>
      <w:r>
        <w:rPr>
          <w:rFonts w:hint="eastAsia" w:ascii="Times New Roman" w:hAnsi="Times New Roman"/>
          <w:kern w:val="0"/>
          <w:sz w:val="24"/>
          <w:lang w:bidi="ar"/>
        </w:rPr>
        <w:t>。对于ST数据集，排除少于5个基因中表达的spot，过滤掉少于1个spot中表达基，因为spot中包含多个细胞，所以不对其基因表达矩阵进行归一化。为了为每种细胞类型选择细胞类型标记基因，在数据集中筛选前200个基因的表达谱，以适应不同细胞类型可检测基因，</w:t>
      </w:r>
      <w:r>
        <w:rPr>
          <w:rFonts w:hint="eastAsia" w:ascii="Times New Roman" w:hAnsi="Times New Roman"/>
          <w:sz w:val="24"/>
        </w:rPr>
        <w:t>空间转录组学数据表示矩阵为</w:t>
      </w:r>
      <m:oMath>
        <m:r>
          <m:rPr/>
          <w:rPr>
            <w:rFonts w:ascii="Cambria Math" w:hAnsi="Cambria Math"/>
            <w:sz w:val="24"/>
          </w:rPr>
          <m:t>S</m:t>
        </m:r>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，n是spot的数量，g是基因的数量。</w:t>
      </w:r>
    </w:p>
    <w:p w14:paraId="1CC32131">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3.1.1.2 模拟空间数据的合成</w:t>
      </w:r>
    </w:p>
    <w:p w14:paraId="31BA3E9E">
      <w:pPr>
        <w:widowControl/>
        <w:snapToGrid w:val="0"/>
        <w:spacing w:line="360" w:lineRule="auto"/>
        <w:ind w:firstLine="480" w:firstLineChars="200"/>
        <w:rPr>
          <w:rFonts w:ascii="Times New Roman" w:hAnsi="Times New Roman"/>
          <w:kern w:val="0"/>
          <w:sz w:val="24"/>
          <w:lang w:bidi="ar"/>
        </w:rPr>
      </w:pPr>
      <w:bookmarkStart w:id="5" w:name="OLE_LINK8"/>
      <w:r>
        <w:rPr>
          <w:rFonts w:hint="eastAsia" w:ascii="Times New Roman" w:hAnsi="Times New Roman"/>
          <w:kern w:val="0"/>
          <w:sz w:val="24"/>
          <w:lang w:bidi="ar"/>
        </w:rPr>
        <w:t>伪spot是从scRNA-seq数据集中选择细胞生成的细胞混合物，具体来说，首先使用VAE</w:t>
      </w:r>
      <w:r>
        <w:rPr>
          <w:rFonts w:ascii="Times New Roman" w:hAnsi="Times New Roman"/>
          <w:kern w:val="0"/>
          <w:sz w:val="24"/>
          <w:vertAlign w:val="superscript"/>
          <w:lang w:bidi="ar"/>
        </w:rPr>
        <w:fldChar w:fldCharType="begin"/>
      </w:r>
      <w:r>
        <w:rPr>
          <w:rFonts w:ascii="Times New Roman" w:hAnsi="Times New Roman"/>
          <w:kern w:val="0"/>
          <w:sz w:val="24"/>
          <w:vertAlign w:val="superscript"/>
          <w:lang w:bidi="ar"/>
        </w:rPr>
        <w:instrText xml:space="preserve"> </w:instrText>
      </w:r>
      <w:r>
        <w:rPr>
          <w:rFonts w:hint="eastAsia" w:ascii="Times New Roman" w:hAnsi="Times New Roman"/>
          <w:kern w:val="0"/>
          <w:sz w:val="24"/>
          <w:vertAlign w:val="superscript"/>
          <w:lang w:bidi="ar"/>
        </w:rPr>
        <w:instrText xml:space="preserve">REF _Ref202172499 \r \h</w:instrText>
      </w:r>
      <w:r>
        <w:rPr>
          <w:rFonts w:ascii="Times New Roman" w:hAnsi="Times New Roman"/>
          <w:kern w:val="0"/>
          <w:sz w:val="24"/>
          <w:vertAlign w:val="superscript"/>
          <w:lang w:bidi="ar"/>
        </w:rPr>
        <w:instrText xml:space="preserve">  \* MERGEFORMAT </w:instrText>
      </w:r>
      <w:r>
        <w:rPr>
          <w:rFonts w:ascii="Times New Roman" w:hAnsi="Times New Roman"/>
          <w:kern w:val="0"/>
          <w:sz w:val="24"/>
          <w:vertAlign w:val="superscript"/>
          <w:lang w:bidi="ar"/>
        </w:rPr>
        <w:fldChar w:fldCharType="separate"/>
      </w:r>
      <w:r>
        <w:rPr>
          <w:rFonts w:ascii="Times New Roman" w:hAnsi="Times New Roman"/>
          <w:kern w:val="0"/>
          <w:sz w:val="24"/>
          <w:vertAlign w:val="superscript"/>
          <w:lang w:bidi="ar"/>
        </w:rPr>
        <w:t>[42]</w:t>
      </w:r>
      <w:r>
        <w:rPr>
          <w:rFonts w:ascii="Times New Roman" w:hAnsi="Times New Roman"/>
          <w:kern w:val="0"/>
          <w:sz w:val="24"/>
          <w:vertAlign w:val="superscript"/>
          <w:lang w:bidi="ar"/>
        </w:rPr>
        <w:fldChar w:fldCharType="end"/>
      </w:r>
      <w:r>
        <w:rPr>
          <w:rFonts w:hint="eastAsia" w:ascii="Times New Roman" w:hAnsi="Times New Roman"/>
          <w:kern w:val="0"/>
          <w:sz w:val="24"/>
          <w:lang w:bidi="ar"/>
        </w:rPr>
        <w:t>编码器将每个细胞和spot的基因表达都映射到低维嵌入空间，再使用KNN识别每个细胞最近的两个spot，然后将这两个spot的中点坐标设置为该细胞的空间坐标，最后每个细胞都有二维空间坐标。然后根据ST数据的空间坐标范围，将其划分为多个六边形网格，模拟ST数据的低空间分辨率点，其spot的半径是根据数据集的空间坐标范围进行调整，然后根据之前设置的细胞的二维坐标将每个细胞都分配到其所在范围内的网格点，为了确保每一个spot包含的细胞数量在5-15这个范围，当有超出该细胞范围的spot，随机选择额外数量的细胞并随机转移到周围的六个相邻点。对于每一个六边形网格，其半径r可以根据不同的数据集自行设定合适的数值以保证spot的生成在可控范围内，最终每个网格生成一个伪spot，得到伪spot表达矩阵</w:t>
      </w:r>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w:t>
      </w:r>
    </w:p>
    <w:bookmarkEnd w:id="5"/>
    <w:p w14:paraId="613E3F17">
      <w:pPr>
        <w:keepNext/>
        <w:keepLines/>
        <w:spacing w:before="120" w:after="120" w:line="300" w:lineRule="auto"/>
        <w:outlineLvl w:val="2"/>
        <w:rPr>
          <w:rFonts w:hint="eastAsia" w:ascii="宋体" w:hAnsi="宋体"/>
          <w:b/>
          <w:bCs/>
          <w:sz w:val="28"/>
          <w:szCs w:val="28"/>
        </w:rPr>
      </w:pPr>
      <w:r>
        <w:rPr>
          <w:rFonts w:ascii="宋体" w:hAnsi="宋体"/>
          <w:b/>
          <w:bCs/>
          <w:sz w:val="28"/>
          <w:szCs w:val="28"/>
        </w:rPr>
        <w:t>3.1.2</w:t>
      </w:r>
      <w:r>
        <w:rPr>
          <w:rFonts w:hint="eastAsia" w:ascii="宋体" w:hAnsi="宋体"/>
          <w:b/>
          <w:bCs/>
          <w:sz w:val="28"/>
          <w:szCs w:val="28"/>
        </w:rPr>
        <w:t>异质多维网络构建模块</w:t>
      </w:r>
    </w:p>
    <w:p w14:paraId="72DFB3A3">
      <w:pPr>
        <w:pStyle w:val="4"/>
        <w:spacing w:before="120" w:after="120" w:line="300" w:lineRule="auto"/>
        <w:jc w:val="left"/>
        <w:rPr>
          <w:rFonts w:hint="eastAsia" w:ascii="宋体" w:hAnsi="宋体" w:eastAsia="宋体" w:cs="宋体"/>
          <w:b w:val="0"/>
          <w:bCs w:val="0"/>
          <w:sz w:val="24"/>
          <w:szCs w:val="24"/>
          <w:lang w:bidi="ar"/>
        </w:rPr>
      </w:pPr>
      <w:bookmarkStart w:id="6" w:name="OLE_LINK29"/>
      <w:r>
        <w:rPr>
          <w:rFonts w:hint="eastAsia" w:ascii="宋体" w:hAnsi="宋体" w:eastAsia="宋体" w:cs="宋体"/>
          <w:b w:val="0"/>
          <w:bCs w:val="0"/>
          <w:sz w:val="24"/>
          <w:szCs w:val="24"/>
          <w:lang w:bidi="ar"/>
        </w:rPr>
        <w:t>3.1.2.1数据整合</w:t>
      </w:r>
    </w:p>
    <w:bookmarkEnd w:id="6"/>
    <w:p w14:paraId="3DD0B318">
      <w:pPr>
        <w:snapToGrid w:val="0"/>
        <w:spacing w:line="360" w:lineRule="auto"/>
        <w:ind w:firstLine="480" w:firstLineChars="200"/>
        <w:rPr>
          <w:rFonts w:ascii="Times New Roman" w:hAnsi="Times New Roman"/>
          <w:sz w:val="24"/>
        </w:rPr>
      </w:pPr>
      <w:bookmarkStart w:id="7" w:name="OLE_LINK52"/>
      <w:r>
        <w:rPr>
          <w:rFonts w:hint="eastAsia" w:ascii="Times New Roman" w:hAnsi="Times New Roman"/>
          <w:sz w:val="24"/>
        </w:rPr>
        <w:t>在生成伪spot后，选择scRNA-seq数据和ST数据筛选之后的共同基因。为了可以集成这两种不同的数据集</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_Ref202174383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[43]</w:t>
      </w:r>
      <w:r>
        <w:rPr>
          <w:rFonts w:ascii="Times New Roman" w:hAnsi="Times New Roman"/>
          <w:sz w:val="24"/>
          <w:vertAlign w:val="superscript"/>
        </w:rPr>
        <w:fldChar w:fldCharType="end"/>
      </w:r>
      <w:r>
        <w:rPr>
          <w:rFonts w:hint="eastAsia" w:ascii="Times New Roman" w:hAnsi="Times New Roman"/>
          <w:sz w:val="24"/>
        </w:rPr>
        <w:t>，采用VAE编码器将scRNA-seq数据和ST数据投影到一个低维嵌入空间，首先伪spot和细胞数据组合为一个表达矩阵</w:t>
      </w:r>
      <w:bookmarkStart w:id="8" w:name="OLE_LINK3"/>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p</m:t>
            </m:r>
            <w:bookmarkEnd w:id="8"/>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eqArr>
              <m:eqArrPr>
                <m:ctrlPr>
                  <w:rPr>
                    <w:rFonts w:ascii="Cambria Math" w:hAnsi="Cambria Math"/>
                    <w:sz w:val="24"/>
                  </w:rPr>
                </m:ctrlPr>
              </m:eqArrPr>
              <m:e>
                <m:r>
                  <m:rPr/>
                  <w:rPr>
                    <w:rFonts w:ascii="Cambria Math" w:hAnsi="Cambria Math"/>
                    <w:sz w:val="24"/>
                  </w:rPr>
                  <m:t>C</m:t>
                </m:r>
                <m:ctrlPr>
                  <w:rPr>
                    <w:rFonts w:ascii="Cambria Math" w:hAnsi="Cambria Math"/>
                    <w:sz w:val="24"/>
                  </w:rPr>
                </m:ctrlPr>
              </m:e>
              <m:e>
                <m:r>
                  <m:rPr/>
                  <w:rPr>
                    <w:rFonts w:ascii="Cambria Math" w:hAnsi="Cambria Math"/>
                    <w:sz w:val="24"/>
                  </w:rPr>
                  <m:t>P</m:t>
                </m:r>
                <m:ctrlPr>
                  <w:rPr>
                    <w:rFonts w:ascii="Cambria Math" w:hAnsi="Cambria Math"/>
                    <w:sz w:val="24"/>
                  </w:rPr>
                </m:ctrlPr>
              </m:e>
            </m:eqAr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d>
              <m:dPr>
                <m:ctrlPr>
                  <w:rPr>
                    <w:rFonts w:ascii="Cambria Math" w:hAnsi="Cambria Math"/>
                    <w:sz w:val="24"/>
                  </w:rPr>
                </m:ctrlPr>
              </m:dPr>
              <m:e>
                <m:r>
                  <m:rPr/>
                  <w:rPr>
                    <w:rFonts w:ascii="Cambria Math" w:hAnsi="Cambria Math"/>
                    <w:sz w:val="24"/>
                  </w:rPr>
                  <m:t>c</m:t>
                </m:r>
                <m:r>
                  <m:rPr>
                    <m:sty m:val="p"/>
                  </m:rPr>
                  <w:rPr>
                    <w:rFonts w:ascii="Cambria Math" w:hAnsi="Cambria Math"/>
                    <w:sz w:val="24"/>
                  </w:rPr>
                  <m:t>+</m:t>
                </m:r>
                <m:r>
                  <m:rPr/>
                  <w:rPr>
                    <w:rFonts w:ascii="Cambria Math" w:hAnsi="Cambria Math"/>
                    <w:sz w:val="24"/>
                  </w:rPr>
                  <m:t>m</m:t>
                </m:r>
                <m:ctrlPr>
                  <w:rPr>
                    <w:rFonts w:ascii="Cambria Math" w:hAnsi="Cambria Math"/>
                    <w:sz w:val="24"/>
                  </w:rPr>
                </m:ctrlPr>
              </m:e>
            </m:d>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，真实spot和细胞组合为表达矩阵</w:t>
      </w:r>
      <w:bookmarkStart w:id="9" w:name="OLE_LINK53"/>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r</m:t>
            </m:r>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eqArr>
              <m:eqArrPr>
                <m:ctrlPr>
                  <w:rPr>
                    <w:rFonts w:ascii="Cambria Math" w:hAnsi="Cambria Math"/>
                    <w:sz w:val="24"/>
                  </w:rPr>
                </m:ctrlPr>
              </m:eqArrPr>
              <m:e>
                <m:r>
                  <m:rPr/>
                  <w:rPr>
                    <w:rFonts w:ascii="Cambria Math" w:hAnsi="Cambria Math"/>
                    <w:sz w:val="24"/>
                  </w:rPr>
                  <m:t>C</m:t>
                </m:r>
                <m:ctrlPr>
                  <w:rPr>
                    <w:rFonts w:ascii="Cambria Math" w:hAnsi="Cambria Math"/>
                    <w:sz w:val="24"/>
                  </w:rPr>
                </m:ctrlPr>
              </m:e>
              <m:e>
                <m:r>
                  <m:rPr/>
                  <w:rPr>
                    <w:rFonts w:ascii="Cambria Math" w:hAnsi="Cambria Math"/>
                    <w:sz w:val="24"/>
                  </w:rPr>
                  <m:t>S</m:t>
                </m:r>
                <m:ctrlPr>
                  <w:rPr>
                    <w:rFonts w:ascii="Cambria Math" w:hAnsi="Cambria Math"/>
                    <w:sz w:val="24"/>
                  </w:rPr>
                </m:ctrlPr>
              </m:e>
            </m:eqAr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d>
              <m:dPr>
                <m:ctrlPr>
                  <w:rPr>
                    <w:rFonts w:ascii="Cambria Math" w:hAnsi="Cambria Math"/>
                    <w:sz w:val="24"/>
                  </w:rPr>
                </m:ctrlPr>
              </m:dPr>
              <m:e>
                <m:r>
                  <m:rPr/>
                  <w:rPr>
                    <w:rFonts w:ascii="Cambria Math" w:hAnsi="Cambria Math"/>
                    <w:sz w:val="24"/>
                  </w:rPr>
                  <m:t>c</m:t>
                </m:r>
                <m:r>
                  <m:rPr>
                    <m:sty m:val="p"/>
                  </m:rPr>
                  <w:rPr>
                    <w:rFonts w:ascii="Cambria Math" w:hAnsi="Cambria Math"/>
                    <w:sz w:val="24"/>
                  </w:rPr>
                  <m:t>+</m:t>
                </m:r>
                <m:r>
                  <m:rPr/>
                  <w:rPr>
                    <w:rFonts w:ascii="Cambria Math" w:hAnsi="Cambria Math"/>
                    <w:sz w:val="24"/>
                  </w:rPr>
                  <m:t>n</m:t>
                </m:r>
                <m:ctrlPr>
                  <w:rPr>
                    <w:rFonts w:ascii="Cambria Math" w:hAnsi="Cambria Math"/>
                    <w:sz w:val="24"/>
                  </w:rPr>
                </m:ctrlPr>
              </m:e>
            </m:d>
            <m:r>
              <m:rPr>
                <m:sty m:val="p"/>
              </m:rPr>
              <w:rPr>
                <w:rFonts w:ascii="Cambria Math" w:hAnsi="Cambria Math"/>
                <w:sz w:val="24"/>
              </w:rPr>
              <m:t>×</m:t>
            </m:r>
            <m:r>
              <m:rPr/>
              <w:rPr>
                <w:rFonts w:ascii="Cambria Math" w:hAnsi="Cambria Math"/>
                <w:sz w:val="24"/>
              </w:rPr>
              <m:t>g</m:t>
            </m:r>
            <w:bookmarkEnd w:id="9"/>
            <m:ctrlPr>
              <w:rPr>
                <w:rFonts w:ascii="Cambria Math" w:hAnsi="Cambria Math"/>
                <w:sz w:val="24"/>
              </w:rPr>
            </m:ctrlPr>
          </m:sup>
        </m:sSup>
      </m:oMath>
      <w:r>
        <w:rPr>
          <w:rFonts w:hint="eastAsia" w:ascii="Times New Roman" w:hAnsi="Times New Roman"/>
          <w:sz w:val="24"/>
        </w:rPr>
        <w:t>，</w:t>
      </w:r>
      <w:bookmarkStart w:id="10" w:name="OLE_LINK54"/>
      <w:r>
        <w:rPr>
          <w:rFonts w:hint="eastAsia" w:ascii="Times New Roman" w:hAnsi="Times New Roman"/>
          <w:sz w:val="24"/>
        </w:rPr>
        <w:t>将</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p</m:t>
            </m:r>
            <m:ctrlPr>
              <w:rPr>
                <w:rFonts w:ascii="Cambria Math" w:hAnsi="Cambria Math"/>
                <w:sz w:val="24"/>
              </w:rPr>
            </m:ctrlPr>
          </m:sub>
        </m:sSub>
      </m:oMath>
      <w:r>
        <w:rPr>
          <w:rFonts w:ascii="Times New Roman" w:hAnsi="Times New Roman"/>
          <w:sz w:val="24"/>
        </w:rPr>
        <w:t xml:space="preserve">​ 或 </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r</m:t>
            </m:r>
            <m:ctrlPr>
              <w:rPr>
                <w:rFonts w:ascii="Cambria Math" w:hAnsi="Cambria Math"/>
                <w:sz w:val="24"/>
              </w:rPr>
            </m:ctrlPr>
          </m:sub>
        </m:sSub>
      </m:oMath>
      <w:r>
        <w:rPr>
          <w:rFonts w:ascii="Times New Roman" w:hAnsi="Times New Roman"/>
          <w:sz w:val="24"/>
        </w:rPr>
        <w:t>输入</w:t>
      </w:r>
      <w:bookmarkEnd w:id="10"/>
      <w:r>
        <w:rPr>
          <w:rFonts w:ascii="Times New Roman" w:hAnsi="Times New Roman"/>
          <w:sz w:val="24"/>
        </w:rPr>
        <w:t>VAE编码器，得到潜变量的均值</w:t>
      </w:r>
      <m:oMath>
        <m:r>
          <m:rPr/>
          <w:rPr>
            <w:rFonts w:ascii="Cambria Math" w:hAnsi="Cambria Math"/>
            <w:sz w:val="24"/>
          </w:rPr>
          <m:t>μ</m:t>
        </m:r>
      </m:oMath>
      <w:r>
        <w:rPr>
          <w:rFonts w:ascii="Times New Roman" w:hAnsi="Times New Roman"/>
          <w:sz w:val="24"/>
        </w:rPr>
        <w:t>和方差参数</w:t>
      </w:r>
      <m:oMath>
        <m:r>
          <m:rPr>
            <m:sty m:val="p"/>
          </m:rPr>
          <w:rPr>
            <w:rFonts w:hint="eastAsia" w:ascii="Cambria Math" w:hAnsi="Cambria Math"/>
            <w:sz w:val="24"/>
          </w:rPr>
          <m:t>：</m:t>
        </m:r>
      </m:oMath>
    </w:p>
    <w:bookmarkEnd w:id="7"/>
    <w:p w14:paraId="6AE78E81">
      <w:pPr>
        <w:spacing w:line="360" w:lineRule="auto"/>
        <w:ind w:firstLine="480" w:firstLineChars="200"/>
        <w:jc w:val="right"/>
        <w:rPr>
          <w:rFonts w:ascii="Times New Roman" w:hAnsi="Times New Roman" w:cstheme="minorBidi"/>
          <w:sz w:val="24"/>
        </w:rPr>
      </w:pPr>
      <w:bookmarkStart w:id="11" w:name="OLE_LINK55"/>
      <m:oMathPara>
        <m:oMath>
          <m:eqArr>
            <m:eqArrPr>
              <m:maxDist m:val="1"/>
              <m:ctrlPr>
                <w:rPr>
                  <w:rFonts w:ascii="Cambria Math" w:hAnsi="Cambria Math"/>
                  <w:sz w:val="24"/>
                </w:rPr>
              </m:ctrlPr>
            </m:eqArrPr>
            <m:e>
              <m:r>
                <m:rPr/>
                <w:rPr>
                  <w:rFonts w:ascii="Cambria Math" w:hAnsi="Cambria Math"/>
                  <w:sz w:val="24"/>
                </w:rPr>
                <m:t>μ</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w:rPr>
                      <w:rFonts w:ascii="Cambria Math" w:hAnsi="Cambria Math"/>
                      <w:sz w:val="24"/>
                    </w:rPr>
                    <m:t>ϕ</m:t>
                  </m:r>
                  <m:ctrlPr>
                    <w:rPr>
                      <w:rFonts w:ascii="Cambria Math" w:hAnsi="Cambria Math"/>
                      <w:sz w:val="24"/>
                    </w:rPr>
                  </m:ctrlPr>
                </m:sub>
              </m:sSub>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σ</m:t>
                  </m:r>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ϕ</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m:t>
                  </m:r>
                  <m:ctrlPr>
                    <w:rPr>
                      <w:rFonts w:ascii="Cambria Math" w:hAnsi="Cambria Math"/>
                      <w:sz w:val="24"/>
                    </w:rPr>
                  </m:ctrlPr>
                  <w:bookmarkEnd w:id="11"/>
                </m:e>
              </m:d>
              <m:ctrlPr>
                <w:rPr>
                  <w:rFonts w:ascii="Cambria Math" w:hAnsi="Cambria Math"/>
                  <w:sz w:val="24"/>
                </w:rPr>
              </m:ctrlPr>
            </m:e>
          </m:eqArr>
        </m:oMath>
      </m:oMathPara>
    </w:p>
    <w:p w14:paraId="71331F73">
      <w:pPr>
        <w:spacing w:line="360" w:lineRule="auto"/>
        <w:ind w:firstLine="480" w:firstLineChars="200"/>
        <w:rPr>
          <w:rFonts w:ascii="Times New Roman" w:hAnsi="Times New Roman"/>
          <w:sz w:val="24"/>
        </w:rPr>
      </w:pPr>
      <w:bookmarkStart w:id="12" w:name="OLE_LINK56"/>
      <w:r>
        <w:rPr>
          <w:rFonts w:hint="eastAsia" w:ascii="Times New Roman" w:hAnsi="Times New Roman"/>
          <w:sz w:val="24"/>
        </w:rPr>
        <w:t>重参数采样：</w:t>
      </w:r>
    </w:p>
    <w:p w14:paraId="0914AA1D">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Z</m:t>
              </m:r>
              <m:r>
                <m:rPr>
                  <m:sty m:val="p"/>
                </m:rPr>
                <w:rPr>
                  <w:rFonts w:ascii="Cambria Math" w:hAnsi="Cambria Math"/>
                  <w:sz w:val="24"/>
                </w:rPr>
                <m:t>=</m:t>
              </m:r>
              <m:r>
                <m:rPr/>
                <w:rPr>
                  <w:rFonts w:ascii="Cambria Math" w:hAnsi="Cambria Math"/>
                  <w:sz w:val="24"/>
                </w:rPr>
                <m:t>μ</m:t>
              </m:r>
              <m:r>
                <m:rPr>
                  <m:sty m:val="p"/>
                </m:rPr>
                <w:rPr>
                  <w:rFonts w:ascii="Cambria Math" w:hAnsi="Cambria Math"/>
                  <w:sz w:val="24"/>
                </w:rPr>
                <m:t>+</m:t>
              </m:r>
              <m:r>
                <m:rPr/>
                <w:rPr>
                  <w:rFonts w:ascii="Cambria Math" w:hAnsi="Cambria Math"/>
                  <w:sz w:val="24"/>
                </w:rPr>
                <m:t>σ</m:t>
              </m:r>
              <m:r>
                <m:rPr>
                  <m:sty m:val="p"/>
                </m:rPr>
                <w:rPr>
                  <w:rFonts w:ascii="Cambria Math" w:hAnsi="Cambria Math"/>
                  <w:sz w:val="24"/>
                </w:rPr>
                <m:t>⊙</m:t>
              </m:r>
              <m:r>
                <m:rPr/>
                <w:rPr>
                  <w:rFonts w:ascii="Cambria Math" w:hAnsi="Cambria Math"/>
                  <w:sz w:val="24"/>
                </w:rPr>
                <m:t>ϵ</m:t>
              </m:r>
              <m:r>
                <m:rPr>
                  <m:sty m:val="p"/>
                </m:rPr>
                <w:rPr>
                  <w:rFonts w:ascii="Cambria Math" w:hAnsi="Cambria Math"/>
                  <w:sz w:val="24"/>
                </w:rPr>
                <m:t>,</m:t>
              </m:r>
              <m:r>
                <m:rPr/>
                <w:rPr>
                  <w:rFonts w:ascii="Cambria Math" w:hAnsi="Cambria Math"/>
                  <w:sz w:val="24"/>
                </w:rPr>
                <m:t>ϵ</m:t>
              </m:r>
              <m:r>
                <m:rPr>
                  <m:sty m:val="p"/>
                  <m:scr m:val="script"/>
                </m:rPr>
                <w:rPr>
                  <w:rFonts w:ascii="Cambria Math" w:hAnsi="Cambria Math"/>
                  <w:sz w:val="24"/>
                </w:rPr>
                <m:t>∼N</m:t>
              </m:r>
              <m:d>
                <m:dPr>
                  <m:ctrlPr>
                    <w:rPr>
                      <w:rFonts w:ascii="Cambria Math" w:hAnsi="Cambria Math"/>
                      <w:sz w:val="24"/>
                    </w:rPr>
                  </m:ctrlPr>
                </m:dPr>
                <m:e>
                  <m:r>
                    <m:rPr>
                      <m:sty m:val="p"/>
                    </m:rPr>
                    <w:rPr>
                      <w:rFonts w:ascii="Cambria Math" w:hAnsi="Cambria Math"/>
                      <w:sz w:val="24"/>
                    </w:rPr>
                    <m:t>0,</m:t>
                  </m:r>
                  <m:r>
                    <m:rPr/>
                    <w:rPr>
                      <w:rFonts w:ascii="Cambria Math" w:hAnsi="Cambria Math"/>
                      <w:sz w:val="24"/>
                    </w:rPr>
                    <m:t>I</m:t>
                  </m:r>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m:t>
                  </m:r>
                  <m:ctrlPr>
                    <w:rPr>
                      <w:rFonts w:ascii="Cambria Math" w:hAnsi="Cambria Math"/>
                      <w:sz w:val="24"/>
                    </w:rPr>
                  </m:ctrlPr>
                </m:e>
              </m:d>
              <m:ctrlPr>
                <w:rPr>
                  <w:rFonts w:ascii="Cambria Math" w:hAnsi="Cambria Math"/>
                  <w:sz w:val="24"/>
                </w:rPr>
              </m:ctrlPr>
            </m:e>
          </m:eqArr>
        </m:oMath>
      </m:oMathPara>
    </w:p>
    <w:p w14:paraId="2D502A79">
      <w:pPr>
        <w:snapToGrid w:val="0"/>
        <w:spacing w:line="360" w:lineRule="auto"/>
        <w:rPr>
          <w:rFonts w:ascii="Times New Roman" w:hAnsi="Times New Roman"/>
          <w:sz w:val="24"/>
        </w:rPr>
      </w:pPr>
      <w:r>
        <w:rPr>
          <w:rFonts w:hint="eastAsia" w:ascii="Times New Roman" w:hAnsi="Times New Roman"/>
          <w:sz w:val="24"/>
        </w:rPr>
        <w:t>重采样之后得到潜在变量</w:t>
      </w:r>
      <m:oMath>
        <w:bookmarkStart w:id="13" w:name="OLE_LINK34"/>
        <m:r>
          <m:rPr/>
          <w:rPr>
            <w:rFonts w:ascii="Cambria Math" w:hAnsi="Cambria Math"/>
            <w:sz w:val="24"/>
          </w:rPr>
          <m:t>Z</m:t>
        </m:r>
        <m:r>
          <m:rPr/>
          <w:rPr>
            <w:rFonts w:hint="eastAsia" w:ascii="Cambria Math" w:hAnsi="Cambria Math"/>
            <w:sz w:val="24"/>
          </w:rPr>
          <m:t>p</m:t>
        </m:r>
        <w:bookmarkEnd w:id="13"/>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d</m:t>
            </m:r>
            <m:ctrlPr>
              <w:rPr>
                <w:rFonts w:ascii="Cambria Math" w:hAnsi="Cambria Math"/>
                <w:sz w:val="24"/>
              </w:rPr>
            </m:ctrlPr>
          </m:sup>
        </m:sSup>
      </m:oMath>
      <w:r>
        <w:rPr>
          <w:rFonts w:hint="eastAsia" w:ascii="Times New Roman" w:hAnsi="Times New Roman"/>
          <w:sz w:val="24"/>
        </w:rPr>
        <w:t>和</w:t>
      </w:r>
      <m:oMath>
        <m:r>
          <m:rPr/>
          <w:rPr>
            <w:rFonts w:ascii="Cambria Math" w:hAnsi="Cambria Math"/>
            <w:sz w:val="24"/>
          </w:rPr>
          <m:t>Zr</m:t>
        </m:r>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d</m:t>
            </m:r>
            <m:ctrlPr>
              <w:rPr>
                <w:rFonts w:ascii="Cambria Math" w:hAnsi="Cambria Math"/>
                <w:sz w:val="24"/>
              </w:rPr>
            </m:ctrlPr>
          </m:sup>
        </m:sSup>
      </m:oMath>
      <w:r>
        <w:rPr>
          <w:rFonts w:hint="eastAsia" w:ascii="Times New Roman" w:hAnsi="Times New Roman"/>
          <w:sz w:val="24"/>
        </w:rPr>
        <w:t>，</w:t>
      </w:r>
      <m:oMath>
        <m:sSup>
          <m:sSupPr>
            <m:ctrlPr>
              <w:rPr>
                <w:rFonts w:ascii="Cambria Math" w:hAnsi="Cambria Math"/>
                <w:sz w:val="24"/>
              </w:rPr>
            </m:ctrlPr>
          </m:sSupPr>
          <m:e>
            <m:r>
              <m:rPr>
                <m:sty m:val="p"/>
              </m:rPr>
              <w:rPr>
                <w:rFonts w:ascii="Cambria Math" w:hAnsi="Cambria Math"/>
                <w:sz w:val="24"/>
              </w:rPr>
              <m:t>d</m:t>
            </m:r>
            <m:ctrlPr>
              <w:rPr>
                <w:rFonts w:ascii="Cambria Math" w:hAnsi="Cambria Math"/>
                <w:sz w:val="24"/>
              </w:rPr>
            </m:ctrlPr>
          </m:e>
          <m:sup>
            <m:r>
              <m:rPr>
                <m:sty m:val="p"/>
              </m:rPr>
              <w:rPr>
                <w:rFonts w:ascii="Cambria Math" w:hAnsi="Cambria Math"/>
                <w:sz w:val="24"/>
              </w:rPr>
              <m:t xml:space="preserve"> </m:t>
            </m:r>
            <m:ctrlPr>
              <w:rPr>
                <w:rFonts w:ascii="Cambria Math" w:hAnsi="Cambria Math"/>
                <w:sz w:val="24"/>
              </w:rPr>
            </m:ctrlPr>
          </m:sup>
        </m:sSup>
      </m:oMath>
      <w:r>
        <w:rPr>
          <w:rFonts w:ascii="Times New Roman" w:hAnsi="Times New Roman"/>
          <w:sz w:val="24"/>
        </w:rPr>
        <w:t>是潜在空间维度</w:t>
      </w:r>
      <w:r>
        <w:rPr>
          <w:rFonts w:hint="eastAsia" w:ascii="Times New Roman" w:hAnsi="Times New Roman"/>
          <w:sz w:val="24"/>
        </w:rPr>
        <w:t>（如30维）。</w:t>
      </w:r>
    </w:p>
    <w:p w14:paraId="777A3015">
      <w:pPr>
        <w:snapToGrid w:val="0"/>
        <w:spacing w:line="360" w:lineRule="auto"/>
        <w:ind w:firstLine="480" w:firstLineChars="200"/>
        <w:rPr>
          <w:rFonts w:ascii="Times New Roman" w:hAnsi="Times New Roman"/>
          <w:sz w:val="24"/>
        </w:rPr>
      </w:pPr>
      <w:r>
        <w:rPr>
          <w:rFonts w:hint="eastAsia" w:ascii="Times New Roman" w:hAnsi="Times New Roman"/>
          <w:sz w:val="24"/>
        </w:rPr>
        <w:t>使用解码器将潜在变量</w:t>
      </w:r>
      <m:oMath>
        <m:r>
          <m:rPr/>
          <w:rPr>
            <w:rFonts w:ascii="Cambria Math" w:hAnsi="Cambria Math"/>
            <w:sz w:val="24"/>
          </w:rPr>
          <m:t>Z</m:t>
        </m:r>
      </m:oMath>
      <w:r>
        <w:rPr>
          <w:rFonts w:hint="eastAsia" w:ascii="Times New Roman" w:hAnsi="Times New Roman"/>
          <w:sz w:val="24"/>
        </w:rPr>
        <w:t>映射回高维表达空间：</w:t>
      </w:r>
    </w:p>
    <w:p w14:paraId="1997B1E2">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f</m:t>
                  </m:r>
                  <m:ctrlPr>
                    <w:rPr>
                      <w:rFonts w:ascii="Cambria Math" w:hAnsi="Cambria Math"/>
                      <w:sz w:val="24"/>
                    </w:rPr>
                  </m:ctrlPr>
                </m:e>
                <m:sub>
                  <m:r>
                    <m:rPr/>
                    <w:rPr>
                      <w:rFonts w:ascii="Cambria Math" w:hAnsi="Cambria Math"/>
                      <w:sz w:val="24"/>
                    </w:rPr>
                    <m:t>θ</m:t>
                  </m:r>
                  <m:ctrlPr>
                    <w:rPr>
                      <w:rFonts w:ascii="Cambria Math" w:hAnsi="Cambria Math"/>
                      <w:sz w:val="24"/>
                    </w:rPr>
                  </m:ctrlPr>
                </m:sub>
              </m:sSub>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m:sty m:val="p"/>
                    </m:rPr>
                    <w:rPr>
                      <w:rFonts w:ascii="Cambria Math" w:hAnsi="Cambria Math"/>
                      <w:sz w:val="24"/>
                    </w:rPr>
                    <m:t>(</m:t>
                  </m:r>
                  <m:r>
                    <m:rPr/>
                    <w:rPr>
                      <w:rFonts w:ascii="Cambria Math" w:hAnsi="Cambria Math"/>
                      <w:sz w:val="24"/>
                    </w:rPr>
                    <m:t>c</m:t>
                  </m:r>
                  <m:r>
                    <m:rPr>
                      <m:sty m:val="p"/>
                    </m:rPr>
                    <w:rPr>
                      <w:rFonts w:ascii="Cambria Math" w:hAnsi="Cambria Math"/>
                      <w:sz w:val="24"/>
                    </w:rPr>
                    <m:t>+</m:t>
                  </m:r>
                  <m:r>
                    <m:rPr/>
                    <w:rPr>
                      <w:rFonts w:ascii="Cambria Math" w:hAnsi="Cambria Math"/>
                      <w:sz w:val="24"/>
                    </w:rPr>
                    <m:t>m</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r>
                <m:rPr>
                  <m:nor/>
                  <m:sty m:val="p"/>
                </m:rPr>
                <w:rPr>
                  <w:rFonts w:ascii="Times New Roman" w:hAnsi="Times New Roman"/>
                  <w:b w:val="0"/>
                  <w:i w:val="0"/>
                  <w:sz w:val="24"/>
                </w:rPr>
                <m:t xml:space="preserve"> 或 </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m:sty m:val="p"/>
                    </m:rPr>
                    <w:rPr>
                      <w:rFonts w:ascii="Cambria Math" w:hAnsi="Cambria Math"/>
                      <w:sz w:val="24"/>
                    </w:rPr>
                    <m:t>(</m:t>
                  </m:r>
                  <m:r>
                    <m:rPr/>
                    <w:rPr>
                      <w:rFonts w:ascii="Cambria Math" w:hAnsi="Cambria Math"/>
                      <w:sz w:val="24"/>
                    </w:rPr>
                    <m:t>c</m:t>
                  </m:r>
                  <m:r>
                    <m:rPr>
                      <m:sty m:val="p"/>
                    </m:rPr>
                    <w:rPr>
                      <w:rFonts w:ascii="Cambria Math" w:hAnsi="Cambria Math"/>
                      <w:sz w:val="24"/>
                    </w:rPr>
                    <m:t>+</m:t>
                  </m:r>
                  <m:r>
                    <m:rPr/>
                    <w:rPr>
                      <w:rFonts w:ascii="Cambria Math" w:hAnsi="Cambria Math"/>
                      <w:sz w:val="24"/>
                    </w:rPr>
                    <m:t>n</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3.3</m:t>
                  </m:r>
                  <m:ctrlPr>
                    <w:rPr>
                      <w:rFonts w:ascii="Cambria Math" w:hAnsi="Cambria Math"/>
                      <w:sz w:val="24"/>
                    </w:rPr>
                  </m:ctrlPr>
                </m:e>
              </m:d>
              <m:ctrlPr>
                <w:rPr>
                  <w:rFonts w:ascii="Cambria Math" w:hAnsi="Cambria Math"/>
                  <w:sz w:val="24"/>
                </w:rPr>
              </m:ctrlPr>
            </m:e>
          </m:eqArr>
        </m:oMath>
      </m:oMathPara>
    </w:p>
    <w:p w14:paraId="274CFC22">
      <w:pPr>
        <w:spacing w:line="360" w:lineRule="auto"/>
        <w:ind w:firstLine="480" w:firstLineChars="200"/>
        <w:rPr>
          <w:rFonts w:ascii="Times New Roman" w:hAnsi="Times New Roman"/>
          <w:sz w:val="24"/>
        </w:rPr>
      </w:pPr>
      <w:r>
        <w:rPr>
          <w:rFonts w:hint="eastAsia" w:ascii="Times New Roman" w:hAnsi="Times New Roman"/>
          <w:sz w:val="24"/>
        </w:rPr>
        <w:t>计算重构误差与KL散度损失优化变量</w:t>
      </w:r>
      <m:oMath>
        <m:r>
          <m:rPr/>
          <w:rPr>
            <w:rFonts w:ascii="Cambria Math" w:hAnsi="Cambria Math"/>
            <w:sz w:val="24"/>
          </w:rPr>
          <m:t>Z</m:t>
        </m:r>
      </m:oMath>
      <w:r>
        <w:rPr>
          <w:rFonts w:hint="eastAsia" w:ascii="Times New Roman" w:hAnsi="Times New Roman"/>
          <w:sz w:val="24"/>
        </w:rPr>
        <w:t>，迭代训练直至收敛，损失函数称为</w:t>
      </w:r>
      <w:r>
        <w:rPr>
          <w:rFonts w:ascii="Times New Roman" w:hAnsi="Times New Roman"/>
          <w:sz w:val="24"/>
        </w:rPr>
        <w:t>称为证据下界</w:t>
      </w:r>
      <w:r>
        <w:rPr>
          <w:rFonts w:hint="eastAsia" w:ascii="Times New Roman" w:hAnsi="Times New Roman"/>
          <w:sz w:val="24"/>
        </w:rPr>
        <w:t>（</w:t>
      </w:r>
      <w:r>
        <w:rPr>
          <w:rFonts w:ascii="Times New Roman" w:hAnsi="Times New Roman"/>
          <w:sz w:val="24"/>
        </w:rPr>
        <w:t>ELBO）</w:t>
      </w:r>
      <w:r>
        <w:rPr>
          <w:rFonts w:hint="eastAsia" w:ascii="Times New Roman" w:hAnsi="Times New Roman"/>
          <w:sz w:val="24"/>
        </w:rPr>
        <w:t>:</w:t>
      </w:r>
    </w:p>
    <w:p w14:paraId="2F5446B1">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m:sty m:val="p"/>
                  <m:scr m:val="script"/>
                </m:rPr>
                <w:rPr>
                  <w:rFonts w:ascii="Cambria Math" w:hAnsi="Cambria Math"/>
                  <w:sz w:val="24"/>
                </w:rPr>
                <m:t>ℒ=</m:t>
              </m:r>
              <m:sSub>
                <m:sSubPr>
                  <m:ctrlPr>
                    <w:rPr>
                      <w:rFonts w:ascii="Cambria Math" w:hAnsi="Cambria Math"/>
                      <w:sz w:val="24"/>
                    </w:rPr>
                  </m:ctrlPr>
                </m:sSubPr>
                <m:e>
                  <m:r>
                    <m:rPr>
                      <m:sty m:val="p"/>
                    </m:rPr>
                    <w:rPr>
                      <w:rFonts w:ascii="Cambria Math" w:hAnsi="Cambria Math"/>
                      <w:sz w:val="24"/>
                    </w:rPr>
                    <m:t>E</m:t>
                  </m:r>
                  <m:ctrlPr>
                    <w:rPr>
                      <w:rFonts w:ascii="Cambria Math" w:hAnsi="Cambria Math"/>
                      <w:sz w:val="24"/>
                    </w:rPr>
                  </m:ctrlPr>
                </m:e>
                <m:sub>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ϕ</m:t>
                      </m:r>
                      <m:ctrlPr>
                        <w:rPr>
                          <w:rFonts w:ascii="Cambria Math" w:hAnsi="Cambria Math"/>
                          <w:sz w:val="24"/>
                        </w:rPr>
                      </m:ctrlPr>
                    </m:sub>
                  </m:sSub>
                  <m:d>
                    <m:dPr>
                      <m:ctrlPr>
                        <w:rPr>
                          <w:rFonts w:ascii="Cambria Math" w:hAnsi="Cambria Math"/>
                          <w:sz w:val="24"/>
                        </w:rPr>
                      </m:ctrlPr>
                    </m:dPr>
                    <m:e>
                      <m:r>
                        <m:rPr/>
                        <w:rPr>
                          <w:rFonts w:ascii="Cambria Math" w:hAnsi="Cambria Math"/>
                          <w:sz w:val="24"/>
                        </w:rPr>
                        <m:t>Z</m:t>
                      </m:r>
                      <m:ctrlPr>
                        <w:rPr>
                          <w:rFonts w:ascii="Cambria Math" w:hAnsi="Cambria Math"/>
                          <w:sz w:val="24"/>
                        </w:rPr>
                      </m:ctrlPr>
                    </m:e>
                    <m:e>
                      <m:r>
                        <m:rPr/>
                        <w:rPr>
                          <w:rFonts w:ascii="Cambria Math" w:hAnsi="Cambria Math"/>
                          <w:sz w:val="24"/>
                        </w:rPr>
                        <m:t>X</m:t>
                      </m:r>
                      <m:ctrlPr>
                        <w:rPr>
                          <w:rFonts w:ascii="Cambria Math" w:hAnsi="Cambria Math"/>
                          <w:sz w:val="24"/>
                        </w:rPr>
                      </m:ctrlPr>
                    </m:e>
                  </m:d>
                  <m:ctrlPr>
                    <w:rPr>
                      <w:rFonts w:ascii="Cambria Math" w:hAnsi="Cambria Math"/>
                      <w:sz w:val="24"/>
                    </w:rPr>
                  </m:ctrlPr>
                </m:sub>
              </m:sSub>
              <m:r>
                <m:rPr>
                  <m:sty m:val="p"/>
                </m:rPr>
                <w:rPr>
                  <w:rFonts w:ascii="Cambria Math" w:hAnsi="Cambria Math"/>
                  <w:sz w:val="24"/>
                </w:rPr>
                <m:t>[log⁡</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θ</m:t>
                  </m:r>
                  <m:ctrlPr>
                    <w:rPr>
                      <w:rFonts w:ascii="Cambria Math" w:hAnsi="Cambria Math"/>
                      <w:sz w:val="24"/>
                    </w:rPr>
                  </m:ctrlPr>
                </m:sub>
              </m:sSub>
              <m:r>
                <m:rPr>
                  <m:sty m:val="p"/>
                </m:rPr>
                <w:rPr>
                  <w:rFonts w:ascii="Cambria Math" w:hAnsi="Cambria Math"/>
                  <w:sz w:val="24"/>
                </w:rPr>
                <m:t>(</m:t>
              </m:r>
              <m:r>
                <m:rPr/>
                <w:rPr>
                  <w:rFonts w:ascii="Cambria Math" w:hAnsi="Cambria Math"/>
                  <w:sz w:val="24"/>
                </w:rPr>
                <m:t>X</m:t>
              </m:r>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D</m:t>
                  </m:r>
                  <m:ctrlPr>
                    <w:rPr>
                      <w:rFonts w:ascii="Cambria Math" w:hAnsi="Cambria Math"/>
                      <w:sz w:val="24"/>
                    </w:rPr>
                  </m:ctrlPr>
                </m:e>
                <m:sub>
                  <m:r>
                    <m:rPr/>
                    <w:rPr>
                      <w:rFonts w:ascii="Cambria Math" w:hAnsi="Cambria Math"/>
                      <w:sz w:val="24"/>
                    </w:rPr>
                    <m:t>KL</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ϕ</m:t>
                  </m:r>
                  <m:ctrlPr>
                    <w:rPr>
                      <w:rFonts w:ascii="Cambria Math" w:hAnsi="Cambria Math"/>
                      <w:sz w:val="24"/>
                    </w:rPr>
                  </m:ctrlPr>
                </m:sub>
              </m:sSub>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r>
                <m:rPr/>
                <w:rPr>
                  <w:rFonts w:ascii="Cambria Math" w:hAnsi="Cambria Math"/>
                  <w:sz w:val="24"/>
                </w:rPr>
                <m:t>X</m:t>
              </m:r>
              <m:r>
                <m:rPr>
                  <m:sty m:val="p"/>
                </m:rPr>
                <w:rPr>
                  <w:rFonts w:ascii="Cambria Math" w:hAnsi="Cambria Math"/>
                  <w:sz w:val="24"/>
                </w:rPr>
                <m:t>)|</m:t>
              </m:r>
              <m:d>
                <m:dPr>
                  <m:begChr m:val="|"/>
                  <m:ctrlPr>
                    <w:rPr>
                      <w:rFonts w:ascii="Cambria Math" w:hAnsi="Cambria Math"/>
                      <w:sz w:val="24"/>
                    </w:rPr>
                  </m:ctrlPr>
                </m:dPr>
                <m:e>
                  <m:r>
                    <m:rPr/>
                    <w:rPr>
                      <w:rFonts w:ascii="Cambria Math" w:hAnsi="Cambria Math"/>
                      <w:sz w:val="24"/>
                    </w:rPr>
                    <m:t>p</m:t>
                  </m:r>
                  <m:d>
                    <m:dPr>
                      <m:ctrlPr>
                        <w:rPr>
                          <w:rFonts w:ascii="Cambria Math" w:hAnsi="Cambria Math"/>
                          <w:sz w:val="24"/>
                        </w:rPr>
                      </m:ctrlPr>
                    </m:dPr>
                    <m:e>
                      <m:r>
                        <m:rPr/>
                        <w:rPr>
                          <w:rFonts w:ascii="Cambria Math" w:hAnsi="Cambria Math"/>
                          <w:sz w:val="24"/>
                        </w:rPr>
                        <m:t>Z</m:t>
                      </m:r>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3.4</m:t>
                  </m:r>
                  <m:ctrlPr>
                    <w:rPr>
                      <w:rFonts w:ascii="Cambria Math" w:hAnsi="Cambria Math"/>
                      <w:sz w:val="24"/>
                    </w:rPr>
                  </m:ctrlPr>
                </m:e>
              </m:d>
              <m:ctrlPr>
                <w:rPr>
                  <w:rFonts w:ascii="Cambria Math" w:hAnsi="Cambria Math"/>
                  <w:sz w:val="24"/>
                </w:rPr>
              </m:ctrlPr>
            </m:e>
          </m:eqArr>
        </m:oMath>
      </m:oMathPara>
    </w:p>
    <w:p w14:paraId="4ACA4B9C">
      <w:pPr>
        <w:snapToGrid w:val="0"/>
        <w:spacing w:line="360" w:lineRule="auto"/>
        <w:rPr>
          <w:rFonts w:ascii="Times New Roman" w:hAnsi="Times New Roman"/>
          <w:sz w:val="24"/>
        </w:rPr>
      </w:pPr>
      <w:r>
        <w:rPr>
          <w:rFonts w:ascii="Times New Roman" w:hAnsi="Times New Roman"/>
          <w:sz w:val="24"/>
        </w:rPr>
        <w:t>其中，先验分布</w:t>
      </w:r>
      <m:oMath>
        <m:r>
          <m:rPr>
            <m:sty m:val="p"/>
          </m:rPr>
          <w:rPr>
            <w:rFonts w:ascii="Cambria Math" w:hAnsi="Cambria Math"/>
            <w:sz w:val="24"/>
          </w:rPr>
          <m:t>p(Z)</m:t>
        </m:r>
      </m:oMath>
      <w:r>
        <w:rPr>
          <w:rFonts w:ascii="Times New Roman" w:hAnsi="Times New Roman"/>
          <w:sz w:val="24"/>
        </w:rPr>
        <w:t>通常是标准正态分布</w:t>
      </w:r>
      <w:r>
        <w:rPr>
          <w:rFonts w:hint="eastAsia" w:ascii="Times New Roman" w:hAnsi="Times New Roman"/>
          <w:sz w:val="24"/>
        </w:rPr>
        <w:t>，</w:t>
      </w:r>
      <w:bookmarkStart w:id="14" w:name="OLE_LINK38"/>
      <m:oMath>
        <m:sSub>
          <m:sSubPr>
            <m:ctrlPr>
              <w:rPr>
                <w:rFonts w:ascii="Cambria Math" w:hAnsi="Cambria Math"/>
                <w:sz w:val="24"/>
              </w:rPr>
            </m:ctrlPr>
          </m:sSubPr>
          <m:e>
            <m:r>
              <m:rPr>
                <m:sty m:val="p"/>
              </m:rPr>
              <w:rPr>
                <w:rFonts w:ascii="Cambria Math" w:hAnsi="Cambria Math"/>
                <w:sz w:val="24"/>
              </w:rPr>
              <m:t>D</m:t>
            </m:r>
            <m:ctrlPr>
              <w:rPr>
                <w:rFonts w:ascii="Cambria Math" w:hAnsi="Cambria Math"/>
                <w:sz w:val="24"/>
              </w:rPr>
            </m:ctrlPr>
          </m:e>
          <m:sub>
            <m:r>
              <m:rPr>
                <m:sty m:val="p"/>
              </m:rPr>
              <w:rPr>
                <w:rFonts w:ascii="Cambria Math" w:hAnsi="Cambria Math"/>
                <w:sz w:val="24"/>
              </w:rPr>
              <m:t>KL</m:t>
            </m:r>
            <w:bookmarkEnd w:id="14"/>
            <m:ctrlPr>
              <w:rPr>
                <w:rFonts w:ascii="Cambria Math" w:hAnsi="Cambria Math"/>
                <w:sz w:val="24"/>
              </w:rPr>
            </m:ctrlPr>
          </m:sub>
        </m:sSub>
      </m:oMath>
      <w:r>
        <w:rPr>
          <w:rFonts w:hint="eastAsia" w:ascii="Times New Roman" w:hAnsi="Times New Roman"/>
          <w:sz w:val="24"/>
        </w:rPr>
        <w:t>表示</w:t>
      </w:r>
      <w:r>
        <w:rPr>
          <w:rFonts w:ascii="Times New Roman" w:hAnsi="Times New Roman"/>
          <w:sz w:val="24"/>
        </w:rPr>
        <w:t>Kullback-Leibler （KL） 背离</w:t>
      </w:r>
      <w:r>
        <w:rPr>
          <w:rFonts w:hint="eastAsia" w:ascii="Times New Roman" w:hAnsi="Times New Roman"/>
          <w:sz w:val="24"/>
        </w:rPr>
        <w:t>，</w:t>
      </w:r>
      <m:oMath>
        <m:sSub>
          <m:sSubPr>
            <m:ctrlPr>
              <w:rPr>
                <w:rFonts w:ascii="Cambria Math" w:hAnsi="Cambria Math"/>
                <w:sz w:val="24"/>
              </w:rPr>
            </m:ctrlPr>
          </m:sSubPr>
          <m:e>
            <m:r>
              <m:rPr>
                <m:sty m:val="p"/>
              </m:rPr>
              <w:rPr>
                <w:rFonts w:ascii="Cambria Math" w:hAnsi="Cambria Math"/>
                <w:sz w:val="24"/>
              </w:rPr>
              <m:t>E</m:t>
            </m:r>
            <m:ctrlPr>
              <w:rPr>
                <w:rFonts w:ascii="Cambria Math" w:hAnsi="Cambria Math"/>
                <w:sz w:val="24"/>
              </w:rPr>
            </m:ctrlPr>
          </m:e>
          <m:sub>
            <m:sSub>
              <m:sSubPr>
                <m:ctrlPr>
                  <w:rPr>
                    <w:rFonts w:ascii="Cambria Math" w:hAnsi="Cambria Math"/>
                    <w:sz w:val="24"/>
                  </w:rPr>
                </m:ctrlPr>
              </m:sSubPr>
              <m:e>
                <m:r>
                  <m:rPr>
                    <m:sty m:val="p"/>
                  </m:rPr>
                  <w:rPr>
                    <w:rFonts w:ascii="Cambria Math" w:hAnsi="Cambria Math"/>
                    <w:sz w:val="24"/>
                  </w:rPr>
                  <m:t>q</m:t>
                </m:r>
                <m:ctrlPr>
                  <w:rPr>
                    <w:rFonts w:ascii="Cambria Math" w:hAnsi="Cambria Math"/>
                    <w:sz w:val="24"/>
                  </w:rPr>
                </m:ctrlPr>
              </m:e>
              <m:sub>
                <m:r>
                  <m:rPr>
                    <m:sty m:val="p"/>
                  </m:rPr>
                  <w:rPr>
                    <w:rFonts w:ascii="Cambria Math" w:hAnsi="Cambria Math"/>
                    <w:sz w:val="24"/>
                  </w:rPr>
                  <m:t>ϕ</m:t>
                </m:r>
                <m:ctrlPr>
                  <w:rPr>
                    <w:rFonts w:ascii="Cambria Math" w:hAnsi="Cambria Math"/>
                    <w:sz w:val="24"/>
                  </w:rPr>
                </m:ctrlPr>
              </m:sub>
            </m:sSub>
            <m:r>
              <m:rPr>
                <m:sty m:val="p"/>
              </m:rPr>
              <w:rPr>
                <w:rFonts w:ascii="Cambria Math" w:hAnsi="Cambria Math"/>
                <w:sz w:val="24"/>
              </w:rPr>
              <m:t>(Z|X)</m:t>
            </m:r>
            <m:ctrlPr>
              <w:rPr>
                <w:rFonts w:ascii="Cambria Math" w:hAnsi="Cambria Math"/>
                <w:sz w:val="24"/>
              </w:rPr>
            </m:ctrlPr>
          </m:sub>
        </m:sSub>
      </m:oMath>
      <w:r>
        <w:rPr>
          <w:rFonts w:hint="eastAsia" w:ascii="Times New Roman" w:hAnsi="Times New Roman"/>
          <w:sz w:val="24"/>
        </w:rPr>
        <w:t>表示ELBO的可能性。</w:t>
      </w:r>
    </w:p>
    <w:bookmarkEnd w:id="12"/>
    <w:p w14:paraId="3681AB2F">
      <w:pPr>
        <w:pStyle w:val="4"/>
        <w:spacing w:before="120" w:after="120" w:line="300" w:lineRule="auto"/>
        <w:jc w:val="left"/>
        <w:rPr>
          <w:rFonts w:hint="eastAsia" w:ascii="宋体" w:hAnsi="宋体" w:eastAsia="宋体" w:cs="宋体"/>
          <w:b w:val="0"/>
          <w:bCs w:val="0"/>
          <w:sz w:val="24"/>
          <w:szCs w:val="24"/>
          <w:lang w:bidi="ar"/>
        </w:rPr>
      </w:pPr>
      <w:bookmarkStart w:id="15" w:name="OLE_LINK36"/>
      <w:bookmarkStart w:id="16" w:name="OLE_LINK32"/>
      <w:r>
        <w:rPr>
          <w:rFonts w:hint="eastAsia" w:ascii="宋体" w:hAnsi="宋体" w:eastAsia="宋体" w:cs="宋体"/>
          <w:b w:val="0"/>
          <w:bCs w:val="0"/>
          <w:sz w:val="24"/>
          <w:szCs w:val="24"/>
          <w:lang w:bidi="ar"/>
        </w:rPr>
        <w:t>3.1.2.2链接图构造</w:t>
      </w:r>
    </w:p>
    <w:p w14:paraId="4984CB1E">
      <w:pPr>
        <w:snapToGrid w:val="0"/>
        <w:spacing w:line="360" w:lineRule="auto"/>
        <w:ind w:firstLine="480" w:firstLineChars="200"/>
        <w:rPr>
          <w:rFonts w:ascii="Times New Roman" w:hAnsi="Times New Roman"/>
          <w:kern w:val="0"/>
          <w:sz w:val="24"/>
          <w:lang w:bidi="ar"/>
        </w:rPr>
      </w:pPr>
      <w:bookmarkStart w:id="17" w:name="OLE_LINK57"/>
      <w:r>
        <w:rPr>
          <w:rFonts w:hint="eastAsia" w:ascii="Times New Roman" w:hAnsi="Times New Roman"/>
          <w:kern w:val="0"/>
          <w:sz w:val="24"/>
          <w:lang w:bidi="ar"/>
        </w:rPr>
        <w:t>真实 spot 图的构建采用了一种融合细胞信息的策略。具体来说，</w:t>
      </w:r>
      <w:bookmarkStart w:id="18" w:name="OLE_LINK37"/>
      <w:r>
        <w:rPr>
          <w:rFonts w:ascii="Times New Roman" w:hAnsi="Times New Roman"/>
          <w:kern w:val="0"/>
          <w:sz w:val="24"/>
          <w:lang w:bidi="ar"/>
        </w:rPr>
        <w:t>对每个真实 spot 节点</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r>
        <w:rPr>
          <w:kern w:val="0"/>
          <w:sz w:val="24"/>
          <w:lang w:bidi="ar"/>
        </w:rPr>
        <w:t>​</w:t>
      </w:r>
      <w:bookmarkEnd w:id="18"/>
      <w:r>
        <w:rPr>
          <w:rFonts w:hint="eastAsia" w:ascii="Times New Roman" w:hAnsi="Times New Roman"/>
          <w:kern w:val="0"/>
          <w:sz w:val="24"/>
          <w:lang w:bidi="ar"/>
        </w:rPr>
        <w:t>，</w:t>
      </w:r>
      <w:r>
        <w:rPr>
          <w:rFonts w:ascii="Times New Roman" w:hAnsi="Times New Roman"/>
          <w:kern w:val="0"/>
          <w:sz w:val="24"/>
          <w:lang w:bidi="ar"/>
        </w:rPr>
        <w:t>查找其最近的</w:t>
      </w:r>
      <w:r>
        <w:rPr>
          <w:rFonts w:hint="eastAsia" w:ascii="Times New Roman" w:hAnsi="Times New Roman"/>
          <w:kern w:val="0"/>
          <w:sz w:val="24"/>
          <w:lang w:bidi="ar"/>
        </w:rPr>
        <w:t>p</w:t>
      </w:r>
      <w:r>
        <w:rPr>
          <w:rFonts w:ascii="Times New Roman" w:hAnsi="Times New Roman"/>
          <w:kern w:val="0"/>
          <w:sz w:val="24"/>
          <w:lang w:bidi="ar"/>
        </w:rPr>
        <w:t>个其他 spot 节点</w:t>
      </w:r>
      <m:oMath>
        <m:sSub>
          <w:bookmarkStart w:id="19" w:name="OLE_LINK39"/>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w:bookmarkEnd w:id="19"/>
          </m:sub>
        </m:sSub>
      </m:oMath>
      <w:r>
        <w:rPr>
          <w:rFonts w:hint="eastAsia" w:ascii="Times New Roman" w:hAnsi="Times New Roman"/>
          <w:kern w:val="0"/>
          <w:sz w:val="24"/>
          <w:lang w:bidi="ar"/>
        </w:rPr>
        <w:t>，</w:t>
      </w:r>
      <w:r>
        <w:rPr>
          <w:rFonts w:ascii="Times New Roman" w:hAnsi="Times New Roman"/>
          <w:kern w:val="0"/>
          <w:sz w:val="24"/>
          <w:lang w:bidi="ar"/>
        </w:rPr>
        <w:t>以及最近的</w:t>
      </w:r>
      <w:r>
        <w:rPr>
          <w:rFonts w:hint="eastAsia" w:ascii="Times New Roman" w:hAnsi="Times New Roman"/>
          <w:i/>
          <w:iCs/>
          <w:kern w:val="0"/>
          <w:sz w:val="24"/>
          <w:lang w:bidi="ar"/>
        </w:rPr>
        <w:t>q</w:t>
      </w:r>
      <w:r>
        <w:rPr>
          <w:rFonts w:ascii="Times New Roman" w:hAnsi="Times New Roman"/>
          <w:kern w:val="0"/>
          <w:sz w:val="24"/>
          <w:lang w:bidi="ar"/>
        </w:rPr>
        <w:t>个细胞节点</w:t>
      </w:r>
      <m:oMath>
        <m:sSub>
          <w:bookmarkStart w:id="20" w:name="OLE_LINK40"/>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hint="eastAsia" w:ascii="Cambria Math" w:hAnsi="Cambria Math"/>
                <w:kern w:val="0"/>
                <w:sz w:val="24"/>
                <w:lang w:bidi="ar"/>
              </w:rPr>
              <m:t>k</m:t>
            </m:r>
            <w:bookmarkEnd w:id="20"/>
            <m:ctrlPr>
              <w:rPr>
                <w:rFonts w:ascii="Cambria Math" w:hAnsi="Cambria Math"/>
                <w:kern w:val="0"/>
                <w:sz w:val="24"/>
                <w:lang w:bidi="ar"/>
              </w:rPr>
            </m:ctrlPr>
          </m:sub>
        </m:sSub>
      </m:oMath>
      <w:r>
        <w:rPr>
          <w:rFonts w:hint="eastAsia" w:ascii="Times New Roman" w:hAnsi="Times New Roman"/>
          <w:kern w:val="0"/>
          <w:sz w:val="24"/>
          <w:lang w:bidi="ar"/>
        </w:rPr>
        <w:t>，</w:t>
      </w:r>
      <w:r>
        <w:rPr>
          <w:rFonts w:ascii="Times New Roman" w:hAnsi="Times New Roman"/>
          <w:kern w:val="0"/>
          <w:sz w:val="24"/>
          <w:lang w:bidi="ar"/>
        </w:rPr>
        <w:t>同时，对每个细胞节点</w:t>
      </w:r>
      <m:oMath>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hint="eastAsia" w:ascii="Cambria Math" w:hAnsi="Cambria Math"/>
                <w:kern w:val="0"/>
                <w:sz w:val="24"/>
                <w:lang w:bidi="ar"/>
              </w:rPr>
              <m:t>k</m:t>
            </m:r>
            <m:ctrlPr>
              <w:rPr>
                <w:rFonts w:ascii="Cambria Math" w:hAnsi="Cambria Math"/>
                <w:kern w:val="0"/>
                <w:sz w:val="24"/>
                <w:lang w:bidi="ar"/>
              </w:rPr>
            </m:ctrlPr>
          </m:sub>
        </m:sSub>
      </m:oMath>
      <w:r>
        <w:rPr>
          <w:rFonts w:ascii="Times New Roman" w:hAnsi="Times New Roman"/>
          <w:kern w:val="0"/>
          <w:sz w:val="24"/>
          <w:lang w:bidi="ar"/>
        </w:rPr>
        <w:t>，查找其最近的</w:t>
      </w:r>
      <w:r>
        <w:rPr>
          <w:rFonts w:hint="eastAsia" w:ascii="Times New Roman" w:hAnsi="Times New Roman"/>
          <w:i/>
          <w:iCs/>
          <w:kern w:val="0"/>
          <w:sz w:val="24"/>
          <w:lang w:bidi="ar"/>
        </w:rPr>
        <w:t>p</w:t>
      </w:r>
      <w:r>
        <w:rPr>
          <w:rFonts w:ascii="Times New Roman" w:hAnsi="Times New Roman"/>
          <w:kern w:val="0"/>
          <w:sz w:val="24"/>
          <w:lang w:bidi="ar"/>
        </w:rPr>
        <w:t>个 spot 节点</w:t>
      </w:r>
      <w:r>
        <w:rPr>
          <w:rFonts w:hint="eastAsia" w:ascii="Times New Roman" w:hAnsi="Times New Roman"/>
          <w:kern w:val="0"/>
          <w:sz w:val="24"/>
          <w:lang w:bidi="ar"/>
        </w:rPr>
        <w:t>，</w:t>
      </w:r>
      <w:r>
        <w:rPr>
          <w:rFonts w:ascii="Times New Roman" w:hAnsi="Times New Roman"/>
          <w:kern w:val="0"/>
          <w:sz w:val="24"/>
          <w:lang w:bidi="ar"/>
        </w:rPr>
        <w:t>仅保留互为近邻的连接关系；所有与 spot 互近邻的细胞类型集合定义为</w:t>
      </w:r>
      <m:oMath>
        <m:r>
          <m:rPr/>
          <w:rPr>
            <w:rFonts w:ascii="Cambria Math" w:hAnsi="Cambria Math"/>
            <w:kern w:val="0"/>
            <w:sz w:val="24"/>
            <w:lang w:bidi="ar"/>
          </w:rPr>
          <m:t>Xc</m:t>
        </m:r>
      </m:oMath>
      <w:r>
        <w:rPr>
          <w:kern w:val="0"/>
          <w:sz w:val="24"/>
          <w:lang w:bidi="ar"/>
        </w:rPr>
        <w:t>​</w:t>
      </w:r>
      <w:r>
        <w:rPr>
          <w:rFonts w:ascii="Times New Roman" w:hAnsi="Times New Roman"/>
          <w:kern w:val="0"/>
          <w:sz w:val="24"/>
          <w:lang w:bidi="ar"/>
        </w:rPr>
        <w:t>。基于此</w:t>
      </w:r>
      <w:r>
        <w:rPr>
          <w:rFonts w:hint="eastAsia" w:ascii="Times New Roman" w:hAnsi="Times New Roman"/>
          <w:kern w:val="0"/>
          <w:sz w:val="24"/>
          <w:lang w:bidi="ar"/>
        </w:rPr>
        <w:t>异质</w:t>
      </w:r>
      <w:r>
        <w:rPr>
          <w:rFonts w:ascii="Times New Roman" w:hAnsi="Times New Roman"/>
          <w:kern w:val="0"/>
          <w:sz w:val="24"/>
          <w:lang w:bidi="ar"/>
        </w:rPr>
        <w:t xml:space="preserve">图 </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c</m:t>
            </m:r>
            <m:r>
              <m:rPr>
                <m:sty m:val="p"/>
              </m:rPr>
              <w:rPr>
                <w:rFonts w:ascii="Cambria Math" w:hAnsi="Cambria Math"/>
                <w:kern w:val="0"/>
                <w:sz w:val="24"/>
                <w:lang w:bidi="ar"/>
              </w:rPr>
              <m:t>+</m:t>
            </m:r>
            <m:r>
              <m:rPr/>
              <w:rPr>
                <w:rFonts w:hint="eastAsia"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c</m:t>
            </m:r>
            <m:r>
              <m:rPr>
                <m:sty m:val="p"/>
              </m:rPr>
              <w:rPr>
                <w:rFonts w:ascii="Cambria Math" w:hAnsi="Cambria Math"/>
                <w:kern w:val="0"/>
                <w:sz w:val="24"/>
                <w:lang w:bidi="ar"/>
              </w:rPr>
              <m:t>+</m:t>
            </m:r>
            <m:r>
              <m:rPr/>
              <w:rPr>
                <w:rFonts w:ascii="Cambria Math" w:hAnsi="Cambria Math"/>
                <w:kern w:val="0"/>
                <w:sz w:val="24"/>
                <w:lang w:bidi="ar"/>
              </w:rPr>
              <m:t>n</m:t>
            </m:r>
            <m:r>
              <m:rPr>
                <m:sty m:val="p"/>
              </m:rPr>
              <w:rPr>
                <w:rFonts w:ascii="Cambria Math" w:hAnsi="Cambria Math"/>
                <w:kern w:val="0"/>
                <w:sz w:val="24"/>
                <w:lang w:bidi="ar"/>
              </w:rPr>
              <m:t>)</m:t>
            </m:r>
            <m:ctrlPr>
              <w:rPr>
                <w:rFonts w:ascii="Cambria Math" w:hAnsi="Cambria Math"/>
                <w:kern w:val="0"/>
                <w:sz w:val="24"/>
                <w:lang w:bidi="ar"/>
              </w:rPr>
            </m:ctrlPr>
          </m:sup>
        </m:sSup>
      </m:oMath>
      <w:r>
        <w:rPr>
          <w:rFonts w:ascii="Times New Roman" w:hAnsi="Times New Roman"/>
          <w:kern w:val="0"/>
          <w:sz w:val="24"/>
          <w:lang w:bidi="ar"/>
        </w:rPr>
        <w:t>，进一步寻找所有满足</w:t>
      </w:r>
      <w:r>
        <w:rPr>
          <w:rFonts w:hint="eastAsia" w:ascii="Times New Roman" w:hAnsi="Times New Roman"/>
          <w:kern w:val="0"/>
          <w:sz w:val="24"/>
          <w:lang w:bidi="ar"/>
        </w:rPr>
        <w:t>spot-细胞-spot</w:t>
      </w:r>
      <w:r>
        <w:rPr>
          <w:rFonts w:ascii="Times New Roman" w:hAnsi="Times New Roman"/>
          <w:kern w:val="0"/>
          <w:sz w:val="24"/>
          <w:lang w:bidi="ar"/>
        </w:rPr>
        <w:t>路径的 spot 对</w:t>
      </w:r>
      <m:oMath>
        <m:r>
          <m:rPr>
            <m:sty m:val="p"/>
          </m:rPr>
          <w:rPr>
            <w:rFonts w:ascii="Cambria Math" w:hAnsi="Cambria Math"/>
            <w:kern w:val="0"/>
            <w:sz w:val="24"/>
            <w:lang w:bidi="ar"/>
          </w:rPr>
          <m:t>(</m:t>
        </m:r>
        <m:sSub>
          <w:bookmarkStart w:id="21" w:name="OLE_LINK42"/>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j</m:t>
            </m:r>
            <w:bookmarkEnd w:id="21"/>
            <m:ctrlPr>
              <w:rPr>
                <w:rFonts w:ascii="Cambria Math" w:hAnsi="Cambria Math"/>
                <w:kern w:val="0"/>
                <w:sz w:val="24"/>
                <w:lang w:bidi="ar"/>
              </w:rPr>
            </m:ctrlPr>
          </m:sub>
        </m:sSub>
        <m:r>
          <m:rPr>
            <m:sty m:val="p"/>
          </m:rPr>
          <w:rPr>
            <w:rFonts w:ascii="Cambria Math" w:hAnsi="Cambria Math"/>
            <w:kern w:val="0"/>
            <w:sz w:val="24"/>
            <w:lang w:bidi="ar"/>
          </w:rPr>
          <m:t>)</m:t>
        </m:r>
      </m:oMath>
      <w:r>
        <w:rPr>
          <w:rFonts w:ascii="Times New Roman" w:hAnsi="Times New Roman"/>
          <w:kern w:val="0"/>
          <w:sz w:val="24"/>
          <w:lang w:bidi="ar"/>
        </w:rPr>
        <w:t xml:space="preserve">。若 </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r>
        <w:rPr>
          <w:rFonts w:ascii="Times New Roman" w:hAnsi="Times New Roman"/>
          <w:kern w:val="0"/>
          <w:sz w:val="24"/>
          <w:lang w:bidi="ar"/>
        </w:rPr>
        <w:t>和</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j</m:t>
            </m:r>
            <m:ctrlPr>
              <w:rPr>
                <w:rFonts w:ascii="Cambria Math" w:hAnsi="Cambria Math"/>
                <w:kern w:val="0"/>
                <w:sz w:val="24"/>
                <w:lang w:bidi="ar"/>
              </w:rPr>
            </m:ctrlPr>
          </m:sub>
        </m:sSub>
      </m:oMath>
      <w:r>
        <w:rPr>
          <w:rFonts w:ascii="Times New Roman" w:hAnsi="Times New Roman"/>
          <w:kern w:val="0"/>
          <w:sz w:val="24"/>
          <w:lang w:bidi="ar"/>
        </w:rPr>
        <w:t>未直接连接，但通过一个共享细胞</w:t>
      </w:r>
      <m:oMath>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k</m:t>
            </m:r>
            <m:ctrlPr>
              <w:rPr>
                <w:rFonts w:ascii="Cambria Math" w:hAnsi="Cambria Math"/>
                <w:kern w:val="0"/>
                <w:sz w:val="24"/>
                <w:lang w:bidi="ar"/>
              </w:rPr>
            </m:ctrlPr>
          </m:sub>
        </m:sSub>
      </m:oMath>
      <w:r>
        <w:rPr>
          <w:rFonts w:ascii="Times New Roman" w:hAnsi="Times New Roman"/>
          <w:kern w:val="0"/>
          <w:sz w:val="24"/>
          <w:lang w:bidi="ar"/>
        </w:rPr>
        <w:t>存在间接路径，则建立间接边，边权为该路径两段距离的平均值</w:t>
      </w:r>
      <w:r>
        <w:rPr>
          <w:rFonts w:hint="eastAsia" w:ascii="Times New Roman" w:hAnsi="Times New Roman"/>
          <w:kern w:val="0"/>
          <w:sz w:val="24"/>
          <w:lang w:bidi="ar"/>
        </w:rPr>
        <w:t>，</w:t>
      </w:r>
      <w:r>
        <w:rPr>
          <w:rFonts w:ascii="Times New Roman" w:hAnsi="Times New Roman"/>
          <w:kern w:val="0"/>
          <w:sz w:val="24"/>
          <w:lang w:bidi="ar"/>
        </w:rPr>
        <w:t>若存在多个路径，取所有路径的平均：</w:t>
      </w:r>
    </w:p>
    <w:p w14:paraId="5FB4A539">
      <w:pPr>
        <w:pStyle w:val="12"/>
        <w:rPr>
          <w:rFonts w:ascii="Times New Roman" w:hAnsi="Times New Roman" w:cs="Times New Roman"/>
          <w:lang w:bidi="ar"/>
        </w:rPr>
      </w:pPr>
      <w:bookmarkStart w:id="22" w:name="OLE_LINK43"/>
      <m:oMathPara>
        <m:oMath>
          <m:eqArr>
            <m:eqArrPr>
              <m:maxDist m:val="1"/>
              <m:ctrlPr>
                <w:rPr>
                  <w:rFonts w:ascii="Cambria Math" w:hAnsi="Cambria Math" w:cs="Times New Roman"/>
                  <w:lang w:bidi="ar"/>
                </w:rPr>
              </m:ctrlPr>
            </m:eqArrPr>
            <m:e>
              <m:sSub>
                <m:sSubPr>
                  <m:ctrlPr>
                    <w:rPr>
                      <w:rFonts w:ascii="Cambria Math" w:hAnsi="Cambria Math" w:cs="Times New Roman"/>
                      <w:lang w:bidi="ar"/>
                    </w:rPr>
                  </m:ctrlPr>
                </m:sSubPr>
                <m:e>
                  <m:r>
                    <m:rPr/>
                    <w:rPr>
                      <w:rFonts w:ascii="Cambria Math" w:hAnsi="Cambria Math" w:cs="Times New Roman"/>
                      <w:lang w:bidi="ar"/>
                    </w:rPr>
                    <m:t>w</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Sub>
              <m:r>
                <m:rPr>
                  <m:sty m:val="p"/>
                </m:rPr>
                <w:rPr>
                  <w:rFonts w:ascii="Cambria Math" w:hAnsi="Cambria Math" w:cs="Times New Roman"/>
                  <w:lang w:bidi="ar"/>
                </w:rPr>
                <m:t>=</m:t>
              </m:r>
              <m:f>
                <m:fPr>
                  <m:ctrlPr>
                    <w:rPr>
                      <w:rFonts w:ascii="Cambria Math" w:hAnsi="Cambria Math" w:cs="Times New Roman"/>
                      <w:lang w:bidi="ar"/>
                    </w:rPr>
                  </m:ctrlPr>
                </m:fPr>
                <m:num>
                  <m:r>
                    <m:rPr>
                      <m:sty m:val="p"/>
                    </m:rPr>
                    <w:rPr>
                      <w:rFonts w:ascii="Cambria Math" w:hAnsi="Cambria Math" w:cs="Times New Roman"/>
                      <w:lang w:bidi="ar"/>
                    </w:rPr>
                    <m:t>1</m:t>
                  </m:r>
                  <m:ctrlPr>
                    <w:rPr>
                      <w:rFonts w:ascii="Cambria Math" w:hAnsi="Cambria Math" w:cs="Times New Roman"/>
                      <w:lang w:bidi="ar"/>
                    </w:rPr>
                  </m:ctrlPr>
                </m:num>
                <m:den>
                  <m:r>
                    <m:rPr>
                      <m:sty m:val="p"/>
                    </m:rPr>
                    <w:rPr>
                      <w:rFonts w:ascii="Cambria Math" w:hAnsi="Cambria Math" w:cs="Times New Roman"/>
                      <w:lang w:bidi="ar"/>
                    </w:rPr>
                    <m:t>|</m:t>
                  </m:r>
                  <m:sSubSup>
                    <m:sSubSupPr>
                      <m:ctrlPr>
                        <w:rPr>
                          <w:rFonts w:ascii="Cambria Math" w:hAnsi="Cambria Math" w:cs="Times New Roman"/>
                          <w:lang w:bidi="ar"/>
                        </w:rPr>
                      </m:ctrlPr>
                    </m:sSubSupPr>
                    <m:e>
                      <m:r>
                        <m:rPr>
                          <m:sty m:val="p"/>
                          <m:scr m:val="script"/>
                        </m:rPr>
                        <w:rPr>
                          <w:rFonts w:ascii="Cambria Math" w:hAnsi="Cambria Math" w:cs="Times New Roman"/>
                          <w:lang w:bidi="ar"/>
                        </w:rPr>
                        <m:t>P</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up>
                      <m:r>
                        <m:rPr>
                          <m:sty m:val="p"/>
                        </m:rPr>
                        <w:rPr>
                          <w:rFonts w:ascii="Cambria Math" w:hAnsi="Cambria Math" w:cs="Times New Roman"/>
                          <w:lang w:bidi="ar"/>
                        </w:rPr>
                        <m:t>(</m:t>
                      </m:r>
                      <m:r>
                        <m:rPr/>
                        <w:rPr>
                          <w:rFonts w:ascii="Cambria Math" w:hAnsi="Cambria Math" w:cs="Times New Roman"/>
                          <w:lang w:bidi="ar"/>
                        </w:rPr>
                        <m:t>s</m:t>
                      </m:r>
                      <m:r>
                        <m:rPr>
                          <m:sty m:val="p"/>
                        </m:rPr>
                        <w:rPr>
                          <w:rFonts w:ascii="Cambria Math" w:hAnsi="Cambria Math" w:cs="Times New Roman"/>
                          <w:lang w:bidi="ar"/>
                        </w:rPr>
                        <m:t>)</m:t>
                      </m:r>
                      <m:ctrlPr>
                        <w:rPr>
                          <w:rFonts w:ascii="Cambria Math" w:hAnsi="Cambria Math" w:cs="Times New Roman"/>
                          <w:lang w:bidi="ar"/>
                        </w:rPr>
                      </m:ctrlPr>
                    </m:sup>
                  </m:sSubSup>
                  <m:r>
                    <m:rPr>
                      <m:sty m:val="p"/>
                    </m:rPr>
                    <w:rPr>
                      <w:rFonts w:ascii="Cambria Math" w:hAnsi="Cambria Math" w:cs="Times New Roman"/>
                      <w:lang w:bidi="ar"/>
                    </w:rPr>
                    <m:t>|</m:t>
                  </m:r>
                  <m:ctrlPr>
                    <w:rPr>
                      <w:rFonts w:ascii="Cambria Math" w:hAnsi="Cambria Math" w:cs="Times New Roman"/>
                      <w:lang w:bidi="ar"/>
                    </w:rPr>
                  </m:ctrlPr>
                </m:den>
              </m:f>
              <m:nary>
                <m:naryPr>
                  <m:chr m:val="∑"/>
                  <m:grow m:val="1"/>
                  <m:limLoc m:val="undOvr"/>
                  <m:supHide m:val="1"/>
                  <m:ctrlPr>
                    <w:rPr>
                      <w:rFonts w:ascii="Cambria Math" w:hAnsi="Cambria Math" w:cs="Times New Roman"/>
                      <w:lang w:bidi="ar"/>
                    </w:rPr>
                  </m:ctrlPr>
                </m:naryPr>
                <m:sub>
                  <m:r>
                    <m:rPr/>
                    <w:rPr>
                      <w:rFonts w:ascii="Cambria Math" w:hAnsi="Cambria Math" w:cs="Times New Roman"/>
                      <w:lang w:bidi="ar"/>
                    </w:rPr>
                    <m:t>p</m:t>
                  </m:r>
                  <m:r>
                    <m:rPr>
                      <m:sty m:val="p"/>
                    </m:rPr>
                    <w:rPr>
                      <w:rFonts w:ascii="Cambria Math" w:hAnsi="Cambria Math" w:cs="Times New Roman"/>
                      <w:lang w:bidi="ar"/>
                    </w:rPr>
                    <m:t>∈</m:t>
                  </m:r>
                  <m:sSubSup>
                    <m:sSubSupPr>
                      <m:ctrlPr>
                        <w:rPr>
                          <w:rFonts w:ascii="Cambria Math" w:hAnsi="Cambria Math" w:cs="Times New Roman"/>
                          <w:lang w:bidi="ar"/>
                        </w:rPr>
                      </m:ctrlPr>
                    </m:sSubSupPr>
                    <m:e>
                      <m:r>
                        <m:rPr>
                          <m:sty m:val="p"/>
                          <m:scr m:val="script"/>
                        </m:rPr>
                        <w:rPr>
                          <w:rFonts w:ascii="Cambria Math" w:hAnsi="Cambria Math" w:cs="Times New Roman"/>
                          <w:lang w:bidi="ar"/>
                        </w:rPr>
                        <m:t>P</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up>
                      <m:r>
                        <m:rPr>
                          <m:sty m:val="p"/>
                        </m:rPr>
                        <w:rPr>
                          <w:rFonts w:ascii="Cambria Math" w:hAnsi="Cambria Math" w:cs="Times New Roman"/>
                          <w:lang w:bidi="ar"/>
                        </w:rPr>
                        <m:t>(</m:t>
                      </m:r>
                      <m:r>
                        <m:rPr/>
                        <w:rPr>
                          <w:rFonts w:ascii="Cambria Math" w:hAnsi="Cambria Math" w:cs="Times New Roman"/>
                          <w:lang w:bidi="ar"/>
                        </w:rPr>
                        <m:t>s</m:t>
                      </m:r>
                      <m:r>
                        <m:rPr>
                          <m:sty m:val="p"/>
                        </m:rPr>
                        <w:rPr>
                          <w:rFonts w:ascii="Cambria Math" w:hAnsi="Cambria Math" w:cs="Times New Roman"/>
                          <w:lang w:bidi="ar"/>
                        </w:rPr>
                        <m:t>)</m:t>
                      </m:r>
                      <m:ctrlPr>
                        <w:rPr>
                          <w:rFonts w:ascii="Cambria Math" w:hAnsi="Cambria Math" w:cs="Times New Roman"/>
                          <w:lang w:bidi="ar"/>
                        </w:rPr>
                      </m:ctrlPr>
                    </m:sup>
                  </m:sSubSup>
                  <m:ctrlPr>
                    <w:rPr>
                      <w:rFonts w:ascii="Cambria Math" w:hAnsi="Cambria Math" w:cs="Times New Roman"/>
                      <w:lang w:bidi="ar"/>
                    </w:rPr>
                  </m:ctrlPr>
                </m:sub>
                <m:sup>
                  <m:ctrlPr>
                    <w:rPr>
                      <w:rFonts w:ascii="Cambria Math" w:hAnsi="Cambria Math" w:cs="Times New Roman"/>
                      <w:lang w:bidi="ar"/>
                    </w:rPr>
                  </m:ctrlPr>
                </m:sup>
                <m:e>
                  <m:r>
                    <m:rPr>
                      <m:sty m:val="p"/>
                    </m:rPr>
                    <w:rPr>
                      <w:rFonts w:ascii="Cambria Math" w:hAnsi="Cambria Math" w:cs="Times New Roman"/>
                      <w:lang w:bidi="ar"/>
                    </w:rPr>
                    <m:t xml:space="preserve"> </m:t>
                  </m:r>
                  <m:ctrlPr>
                    <w:rPr>
                      <w:rFonts w:ascii="Cambria Math" w:hAnsi="Cambria Math" w:cs="Times New Roman"/>
                      <w:lang w:bidi="ar"/>
                    </w:rPr>
                  </m:ctrlPr>
                </m:e>
              </m:nary>
              <m:f>
                <m:fPr>
                  <m:ctrlPr>
                    <w:rPr>
                      <w:rFonts w:ascii="Cambria Math" w:hAnsi="Cambria Math" w:cs="Times New Roman"/>
                      <w:lang w:bidi="ar"/>
                    </w:rPr>
                  </m:ctrlPr>
                </m:fPr>
                <m:num>
                  <m:r>
                    <m:rPr/>
                    <w:rPr>
                      <w:rFonts w:ascii="Cambria Math" w:hAnsi="Cambria Math" w:cs="Times New Roman"/>
                      <w:lang w:bidi="ar"/>
                    </w:rPr>
                    <m:t>d</m:t>
                  </m:r>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s</m:t>
                      </m:r>
                      <m:ctrlPr>
                        <w:rPr>
                          <w:rFonts w:ascii="Cambria Math" w:hAnsi="Cambria Math" w:cs="Times New Roman"/>
                          <w:lang w:bidi="ar"/>
                        </w:rPr>
                      </m:ctrlPr>
                    </m:e>
                    <m:sub>
                      <m:r>
                        <m:rPr/>
                        <w:rPr>
                          <w:rFonts w:ascii="Cambria Math" w:hAnsi="Cambria Math" w:cs="Times New Roman"/>
                          <w:lang w:bidi="ar"/>
                        </w:rPr>
                        <m:t>i</m:t>
                      </m:r>
                      <m:ctrlPr>
                        <w:rPr>
                          <w:rFonts w:ascii="Cambria Math" w:hAnsi="Cambria Math" w:cs="Times New Roman"/>
                          <w:lang w:bidi="ar"/>
                        </w:rPr>
                      </m:ctrlPr>
                    </m:sub>
                  </m:sSub>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c</m:t>
                      </m:r>
                      <m:ctrlPr>
                        <w:rPr>
                          <w:rFonts w:ascii="Cambria Math" w:hAnsi="Cambria Math" w:cs="Times New Roman"/>
                          <w:lang w:bidi="ar"/>
                        </w:rPr>
                      </m:ctrlPr>
                    </m:e>
                    <m:sub>
                      <m:r>
                        <m:rPr/>
                        <w:rPr>
                          <w:rFonts w:ascii="Cambria Math" w:hAnsi="Cambria Math" w:cs="Times New Roman"/>
                          <w:lang w:bidi="ar"/>
                        </w:rPr>
                        <m:t>p</m:t>
                      </m:r>
                      <m:ctrlPr>
                        <w:rPr>
                          <w:rFonts w:ascii="Cambria Math" w:hAnsi="Cambria Math" w:cs="Times New Roman"/>
                          <w:lang w:bidi="ar"/>
                        </w:rPr>
                      </m:ctrlPr>
                    </m:sub>
                  </m:sSub>
                  <m:r>
                    <m:rPr>
                      <m:sty m:val="p"/>
                    </m:rPr>
                    <w:rPr>
                      <w:rFonts w:ascii="Cambria Math" w:hAnsi="Cambria Math" w:cs="Times New Roman"/>
                      <w:lang w:bidi="ar"/>
                    </w:rPr>
                    <m:t>)+</m:t>
                  </m:r>
                  <m:r>
                    <m:rPr/>
                    <w:rPr>
                      <w:rFonts w:ascii="Cambria Math" w:hAnsi="Cambria Math" w:cs="Times New Roman"/>
                      <w:lang w:bidi="ar"/>
                    </w:rPr>
                    <m:t>d</m:t>
                  </m:r>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c</m:t>
                      </m:r>
                      <m:ctrlPr>
                        <w:rPr>
                          <w:rFonts w:ascii="Cambria Math" w:hAnsi="Cambria Math" w:cs="Times New Roman"/>
                          <w:lang w:bidi="ar"/>
                        </w:rPr>
                      </m:ctrlPr>
                    </m:e>
                    <m:sub>
                      <m:r>
                        <m:rPr/>
                        <w:rPr>
                          <w:rFonts w:ascii="Cambria Math" w:hAnsi="Cambria Math" w:cs="Times New Roman"/>
                          <w:lang w:bidi="ar"/>
                        </w:rPr>
                        <m:t>p</m:t>
                      </m:r>
                      <m:ctrlPr>
                        <w:rPr>
                          <w:rFonts w:ascii="Cambria Math" w:hAnsi="Cambria Math" w:cs="Times New Roman"/>
                          <w:lang w:bidi="ar"/>
                        </w:rPr>
                      </m:ctrlPr>
                    </m:sub>
                  </m:sSub>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s</m:t>
                      </m:r>
                      <m:ctrlPr>
                        <w:rPr>
                          <w:rFonts w:ascii="Cambria Math" w:hAnsi="Cambria Math" w:cs="Times New Roman"/>
                          <w:lang w:bidi="ar"/>
                        </w:rPr>
                      </m:ctrlPr>
                    </m:e>
                    <m:sub>
                      <m:r>
                        <m:rPr/>
                        <w:rPr>
                          <w:rFonts w:ascii="Cambria Math" w:hAnsi="Cambria Math" w:cs="Times New Roman"/>
                          <w:lang w:bidi="ar"/>
                        </w:rPr>
                        <m:t>j</m:t>
                      </m:r>
                      <m:ctrlPr>
                        <w:rPr>
                          <w:rFonts w:ascii="Cambria Math" w:hAnsi="Cambria Math" w:cs="Times New Roman"/>
                          <w:lang w:bidi="ar"/>
                        </w:rPr>
                      </m:ctrlPr>
                    </m:sub>
                  </m:sSub>
                  <m:r>
                    <m:rPr>
                      <m:sty m:val="p"/>
                    </m:rPr>
                    <w:rPr>
                      <w:rFonts w:ascii="Cambria Math" w:hAnsi="Cambria Math" w:cs="Times New Roman"/>
                      <w:lang w:bidi="ar"/>
                    </w:rPr>
                    <m:t>)</m:t>
                  </m:r>
                  <m:ctrlPr>
                    <w:rPr>
                      <w:rFonts w:ascii="Cambria Math" w:hAnsi="Cambria Math" w:cs="Times New Roman"/>
                      <w:lang w:bidi="ar"/>
                    </w:rPr>
                  </m:ctrlPr>
                </m:num>
                <m:den>
                  <m:r>
                    <m:rPr>
                      <m:sty m:val="p"/>
                    </m:rPr>
                    <w:rPr>
                      <w:rFonts w:ascii="Cambria Math" w:hAnsi="Cambria Math" w:cs="Times New Roman"/>
                      <w:lang w:bidi="ar"/>
                    </w:rPr>
                    <m:t>2</m:t>
                  </m:r>
                  <m:ctrlPr>
                    <w:rPr>
                      <w:rFonts w:ascii="Cambria Math" w:hAnsi="Cambria Math" w:cs="Times New Roman"/>
                      <w:lang w:bidi="ar"/>
                    </w:rPr>
                  </m:ctrlPr>
                </m:den>
              </m:f>
              <m:r>
                <m:rPr>
                  <m:sty m:val="p"/>
                </m:rPr>
                <w:rPr>
                  <w:rFonts w:ascii="Cambria Math" w:hAnsi="Cambria Math" w:cs="Times New Roman"/>
                  <w:lang w:bidi="ar"/>
                </w:rPr>
                <m:t>#</m:t>
              </m:r>
              <m:d>
                <m:dPr>
                  <m:begChr m:val="（"/>
                  <m:endChr m:val="）"/>
                  <m:ctrlPr>
                    <w:rPr>
                      <w:rFonts w:ascii="Cambria Math" w:hAnsi="Cambria Math" w:cs="Times New Roman"/>
                      <w:lang w:bidi="ar"/>
                    </w:rPr>
                  </m:ctrlPr>
                </m:dPr>
                <m:e>
                  <m:r>
                    <m:rPr>
                      <m:sty m:val="p"/>
                    </m:rPr>
                    <w:rPr>
                      <w:rFonts w:ascii="Cambria Math" w:hAnsi="Cambria Math" w:cs="Times New Roman"/>
                      <w:lang w:bidi="ar"/>
                    </w:rPr>
                    <m:t>3.5</m:t>
                  </m:r>
                  <m:ctrlPr>
                    <w:rPr>
                      <w:rFonts w:ascii="Cambria Math" w:hAnsi="Cambria Math" w:cs="Times New Roman"/>
                      <w:lang w:bidi="ar"/>
                    </w:rPr>
                  </m:ctrlPr>
                </m:e>
              </m:d>
              <m:ctrlPr>
                <w:rPr>
                  <w:rFonts w:ascii="Cambria Math" w:hAnsi="Cambria Math" w:cs="Times New Roman"/>
                  <w:lang w:bidi="ar"/>
                </w:rPr>
              </m:ctrlPr>
            </m:e>
          </m:eqArr>
        </m:oMath>
      </m:oMathPara>
    </w:p>
    <w:p w14:paraId="6E5FA77C">
      <w:pPr>
        <w:pStyle w:val="12"/>
        <w:snapToGrid w:val="0"/>
        <w:rPr>
          <w:rFonts w:ascii="Times New Roman" w:hAnsi="Times New Roman" w:cs="Times New Roman"/>
          <w:lang w:bidi="ar"/>
        </w:rPr>
      </w:pPr>
      <w:r>
        <w:rPr>
          <w:rFonts w:ascii="Times New Roman" w:hAnsi="Times New Roman" w:cs="Times New Roman"/>
          <w:lang w:bidi="ar"/>
        </w:rPr>
        <w:t>保留所有 spot 间连接边，得到真实 spot 图</w:t>
      </w:r>
      <m:oMath>
        <m:sSub>
          <m:sSubPr>
            <m:ctrlPr>
              <w:rPr>
                <w:rFonts w:ascii="Cambria Math" w:hAnsi="Cambria Math" w:cs="Times New Roman"/>
                <w:lang w:bidi="ar"/>
              </w:rPr>
            </m:ctrlPr>
          </m:sSubPr>
          <m:e>
            <m:r>
              <m:rPr/>
              <w:rPr>
                <w:rFonts w:ascii="Cambria Math" w:hAnsi="Cambria Math" w:cs="Times New Roman"/>
                <w:lang w:bidi="ar"/>
              </w:rPr>
              <m:t>H</m:t>
            </m:r>
            <m:ctrlPr>
              <w:rPr>
                <w:rFonts w:ascii="Cambria Math" w:hAnsi="Cambria Math" w:cs="Times New Roman"/>
                <w:lang w:bidi="ar"/>
              </w:rPr>
            </m:ctrlPr>
          </m:e>
          <m:sub>
            <m:r>
              <m:rPr/>
              <w:rPr>
                <w:rFonts w:ascii="Cambria Math" w:hAnsi="Cambria Math" w:cs="Times New Roman"/>
                <w:lang w:bidi="ar"/>
              </w:rPr>
              <m:t>s</m:t>
            </m:r>
            <m:ctrlPr>
              <w:rPr>
                <w:rFonts w:ascii="Cambria Math" w:hAnsi="Cambria Math" w:cs="Times New Roman"/>
                <w:lang w:bidi="ar"/>
              </w:rPr>
            </m:ctrlPr>
          </m:sub>
        </m:sSub>
        <m:r>
          <m:rPr>
            <m:sty m:val="p"/>
          </m:rPr>
          <w:rPr>
            <w:rFonts w:ascii="Cambria Math" w:hAnsi="Cambria Math" w:cs="Times New Roman"/>
            <w:lang w:bidi="ar"/>
          </w:rPr>
          <m:t>∈</m:t>
        </m:r>
        <m:sSup>
          <m:sSupPr>
            <m:ctrlPr>
              <w:rPr>
                <w:rFonts w:ascii="Cambria Math" w:hAnsi="Cambria Math" w:cs="Times New Roman"/>
                <w:lang w:bidi="ar"/>
              </w:rPr>
            </m:ctrlPr>
          </m:sSupPr>
          <m:e>
            <m:r>
              <m:rPr>
                <m:sty m:val="p"/>
              </m:rPr>
              <w:rPr>
                <w:rFonts w:ascii="Cambria Math" w:hAnsi="Cambria Math" w:cs="Times New Roman"/>
                <w:lang w:bidi="ar"/>
              </w:rPr>
              <m:t>R</m:t>
            </m:r>
            <m:ctrlPr>
              <w:rPr>
                <w:rFonts w:ascii="Cambria Math" w:hAnsi="Cambria Math" w:cs="Times New Roman"/>
                <w:lang w:bidi="ar"/>
              </w:rPr>
            </m:ctrlPr>
          </m:e>
          <m:sup>
            <m:r>
              <m:rPr/>
              <w:rPr>
                <w:rFonts w:ascii="Cambria Math" w:hAnsi="Cambria Math" w:cs="Times New Roman"/>
                <w:lang w:bidi="ar"/>
              </w:rPr>
              <m:t>n</m:t>
            </m:r>
            <m:r>
              <m:rPr>
                <m:sty m:val="p"/>
              </m:rPr>
              <w:rPr>
                <w:rFonts w:ascii="Cambria Math" w:hAnsi="Cambria Math" w:cs="Times New Roman"/>
                <w:lang w:bidi="ar"/>
              </w:rPr>
              <m:t>×</m:t>
            </m:r>
            <m:r>
              <m:rPr/>
              <w:rPr>
                <w:rFonts w:ascii="Cambria Math" w:hAnsi="Cambria Math" w:cs="Times New Roman"/>
                <w:lang w:bidi="ar"/>
              </w:rPr>
              <m:t>n</m:t>
            </m:r>
            <m:ctrlPr>
              <w:rPr>
                <w:rFonts w:ascii="Cambria Math" w:hAnsi="Cambria Math" w:cs="Times New Roman"/>
                <w:lang w:bidi="ar"/>
              </w:rPr>
            </m:ctrlPr>
          </m:sup>
        </m:sSup>
      </m:oMath>
      <w:r>
        <w:rPr>
          <w:rFonts w:hint="eastAsia" w:ascii="Times New Roman" w:hAnsi="Times New Roman" w:cs="Times New Roman"/>
          <w:lang w:bidi="ar"/>
        </w:rPr>
        <w:t>。</w:t>
      </w:r>
    </w:p>
    <w:bookmarkEnd w:id="22"/>
    <w:p w14:paraId="0C1A4EAF">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伪spot图构建是在低维嵌入空间中，使用KNN（k=20）为</w:t>
      </w:r>
      <w:r>
        <w:rPr>
          <w:rFonts w:ascii="Times New Roman" w:hAnsi="Times New Roman"/>
          <w:kern w:val="0"/>
          <w:sz w:val="24"/>
          <w:lang w:bidi="ar"/>
        </w:rPr>
        <w:t>每个节点查找 k 个最近邻，只保留互为近邻的边，构建</w:t>
      </w:r>
      <w:r>
        <w:rPr>
          <w:rFonts w:hint="eastAsia" w:ascii="Times New Roman" w:hAnsi="Times New Roman"/>
          <w:kern w:val="0"/>
          <w:sz w:val="24"/>
          <w:lang w:bidi="ar"/>
        </w:rPr>
        <w:t>异质</w:t>
      </w:r>
      <w:r>
        <w:rPr>
          <w:rFonts w:ascii="Times New Roman" w:hAnsi="Times New Roman"/>
          <w:kern w:val="0"/>
          <w:sz w:val="24"/>
          <w:lang w:bidi="ar"/>
        </w:rPr>
        <w:t>图</w:t>
      </w:r>
      <m:oMath>
        <m:sSub>
          <m:sSubPr>
            <m:ctrlPr>
              <w:rPr>
                <w:rFonts w:ascii="Cambria Math" w:hAnsi="Cambria Math"/>
                <w:kern w:val="0"/>
                <w:sz w:val="24"/>
                <w:lang w:bidi="ar"/>
              </w:rPr>
            </m:ctrlPr>
          </m:sSubPr>
          <m:e>
            <m:r>
              <m:rPr>
                <m:sty m:val="p"/>
              </m:rPr>
              <w:rPr>
                <w:rFonts w:ascii="Cambria Math" w:hAnsi="Cambria Math"/>
                <w:kern w:val="0"/>
                <w:sz w:val="24"/>
                <w:lang w:bidi="ar"/>
              </w:rPr>
              <m:t>A</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m:sty m:val="p"/>
              </m:rPr>
              <w:rPr>
                <w:rFonts w:ascii="Cambria Math" w:hAnsi="Cambria Math"/>
                <w:kern w:val="0"/>
                <w:sz w:val="24"/>
                <w:lang w:bidi="ar"/>
              </w:rPr>
              <m:t>(c+m)×(c+m)</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进一步强化伪 spot 结构联系</w:t>
      </w:r>
      <w:r>
        <w:rPr>
          <w:rFonts w:hint="eastAsia" w:ascii="Times New Roman" w:hAnsi="Times New Roman"/>
          <w:kern w:val="0"/>
          <w:sz w:val="24"/>
          <w:lang w:bidi="ar"/>
        </w:rPr>
        <w:t>，对于</w:t>
      </w:r>
      <w:r>
        <w:rPr>
          <w:rFonts w:ascii="Times New Roman" w:hAnsi="Times New Roman"/>
          <w:kern w:val="0"/>
          <w:sz w:val="24"/>
          <w:lang w:bidi="ar"/>
        </w:rPr>
        <w:t>每对与</w:t>
      </w:r>
      <m:oMath>
        <m:sSub>
          <m:sSubPr>
            <m:ctrlPr>
              <w:rPr>
                <w:rFonts w:ascii="Cambria Math" w:hAnsi="Cambria Math"/>
                <w:kern w:val="0"/>
                <w:sz w:val="24"/>
                <w:lang w:bidi="ar"/>
              </w:rPr>
            </m:ctrlPr>
          </m:sSubPr>
          <m:e>
            <m:r>
              <m:rPr>
                <m:sty m:val="p"/>
              </m:rPr>
              <w:rPr>
                <w:rFonts w:ascii="Cambria Math" w:hAnsi="Cambria Math"/>
                <w:kern w:val="0"/>
                <w:sz w:val="24"/>
                <w:lang w:bidi="ar"/>
              </w:rPr>
              <m:t>X</m:t>
            </m:r>
            <m:ctrlPr>
              <w:rPr>
                <w:rFonts w:ascii="Cambria Math" w:hAnsi="Cambria Math"/>
                <w:kern w:val="0"/>
                <w:sz w:val="24"/>
                <w:lang w:bidi="ar"/>
              </w:rPr>
            </m:ctrlPr>
          </m:e>
          <m:sub>
            <m:r>
              <m:rPr>
                <m:sty m:val="p"/>
              </m:rPr>
              <w:rPr>
                <w:rFonts w:ascii="Cambria Math" w:hAnsi="Cambria Math"/>
                <w:kern w:val="0"/>
                <w:sz w:val="24"/>
                <w:lang w:bidi="ar"/>
              </w:rPr>
              <m:t>c</m:t>
            </m:r>
            <m:ctrlPr>
              <w:rPr>
                <w:rFonts w:ascii="Cambria Math" w:hAnsi="Cambria Math"/>
                <w:kern w:val="0"/>
                <w:sz w:val="24"/>
                <w:lang w:bidi="ar"/>
              </w:rPr>
            </m:ctrlPr>
          </m:sub>
        </m:sSub>
      </m:oMath>
      <w:r>
        <w:rPr>
          <w:rFonts w:ascii="Times New Roman" w:hAnsi="Times New Roman"/>
          <w:kern w:val="0"/>
          <w:sz w:val="24"/>
          <w:lang w:bidi="ar"/>
        </w:rPr>
        <w:t>中相同细胞类型节点</w:t>
      </w:r>
      <m:oMath>
        <m:sSub>
          <m:sSubPr>
            <m:ctrlPr>
              <w:rPr>
                <w:rFonts w:ascii="Cambria Math" w:hAnsi="Cambria Math"/>
                <w:kern w:val="0"/>
                <w:sz w:val="24"/>
                <w:lang w:bidi="ar"/>
              </w:rPr>
            </m:ctrlPr>
          </m:sSubPr>
          <m:e>
            <m:r>
              <m:rPr>
                <m:sty m:val="p"/>
              </m:rPr>
              <w:rPr>
                <w:rFonts w:ascii="Cambria Math" w:hAnsi="Cambria Math"/>
                <w:kern w:val="0"/>
                <w:sz w:val="24"/>
                <w:lang w:bidi="ar"/>
              </w:rPr>
              <m:t>c</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有共同连接的伪 spot</w:t>
      </w:r>
      <w:r>
        <w:rPr>
          <w:rFonts w:hint="eastAsia" w:ascii="Times New Roman" w:hAnsi="Times New Roman"/>
          <w:kern w:val="0"/>
          <w:sz w:val="24"/>
          <w:lang w:bidi="ar"/>
        </w:rPr>
        <w:t>对</w:t>
      </w:r>
      <m:oMath>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p</m:t>
            </m:r>
            <m:ctrlPr>
              <w:rPr>
                <w:rFonts w:ascii="Cambria Math" w:hAnsi="Cambria Math"/>
                <w:kern w:val="0"/>
                <w:sz w:val="24"/>
                <w:lang w:bidi="ar"/>
              </w:rPr>
            </m:ctrlPr>
          </m:e>
          <m:sub>
            <m:r>
              <m:rPr>
                <m:sty m:val="p"/>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p</m:t>
            </m:r>
            <m:ctrlPr>
              <w:rPr>
                <w:rFonts w:ascii="Cambria Math" w:hAnsi="Cambria Math"/>
                <w:kern w:val="0"/>
                <w:sz w:val="24"/>
                <w:lang w:bidi="ar"/>
              </w:rPr>
            </m:ctrlPr>
          </m:e>
          <m:sub>
            <m:r>
              <m:rPr>
                <m:sty m:val="p"/>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oMath>
      <w:r>
        <w:rPr>
          <w:rFonts w:ascii="Times New Roman" w:hAnsi="Times New Roman"/>
          <w:kern w:val="0"/>
          <w:sz w:val="24"/>
          <w:lang w:bidi="ar"/>
        </w:rPr>
        <w:t>，若未连接，则建立边，</w:t>
      </w:r>
      <w:r>
        <w:rPr>
          <w:rFonts w:hint="eastAsia" w:ascii="Times New Roman" w:hAnsi="Times New Roman"/>
          <w:kern w:val="0"/>
          <w:sz w:val="24"/>
          <w:lang w:bidi="ar"/>
        </w:rPr>
        <w:t>边权设置为路径中两段距离的平均值；若存在多个路径，则取所有路径的平均边权：</w:t>
      </w:r>
    </w:p>
    <w:p w14:paraId="7529115C">
      <w:pPr>
        <w:spacing w:line="360" w:lineRule="auto"/>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m:t>
                  </m:r>
                  <m:sSubSup>
                    <m:sSubSupPr>
                      <m:ctrlPr>
                        <w:rPr>
                          <w:rFonts w:ascii="Cambria Math" w:hAnsi="Cambria Math"/>
                          <w:kern w:val="0"/>
                          <w:sz w:val="24"/>
                          <w:lang w:bidi="ar"/>
                        </w:rPr>
                      </m:ctrlPr>
                    </m:sSubSupPr>
                    <m:e>
                      <m:r>
                        <m:rPr>
                          <m:sty m:val="p"/>
                          <m:scr m:val="script"/>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up>
                      <m:r>
                        <m:rPr>
                          <m:sty m:val="p"/>
                        </m:rPr>
                        <w:rPr>
                          <w:rFonts w:ascii="Cambria Math" w:hAnsi="Cambria Math"/>
                          <w:kern w:val="0"/>
                          <w:sz w:val="24"/>
                          <w:lang w:bidi="ar"/>
                        </w:rPr>
                        <m:t>(</m:t>
                      </m:r>
                      <m:r>
                        <m:rPr/>
                        <w:rPr>
                          <w:rFonts w:ascii="Cambria Math" w:hAnsi="Cambria Math"/>
                          <w:kern w:val="0"/>
                          <w:sz w:val="24"/>
                          <w:lang w:bidi="ar"/>
                        </w:rPr>
                        <m:t>p</m:t>
                      </m:r>
                      <m:r>
                        <m:rPr>
                          <m:sty m:val="p"/>
                        </m:rPr>
                        <w:rPr>
                          <w:rFonts w:ascii="Cambria Math" w:hAnsi="Cambria Math"/>
                          <w:kern w:val="0"/>
                          <w:sz w:val="24"/>
                          <w:lang w:bidi="ar"/>
                        </w:rPr>
                        <m:t>)</m:t>
                      </m:r>
                      <m:ctrlPr>
                        <w:rPr>
                          <w:rFonts w:ascii="Cambria Math" w:hAnsi="Cambria Math"/>
                          <w:kern w:val="0"/>
                          <w:sz w:val="24"/>
                          <w:lang w:bidi="ar"/>
                        </w:rPr>
                      </m:ctrlPr>
                    </m:sup>
                  </m:sSubSup>
                  <m:r>
                    <m:rPr>
                      <m:sty m:val="p"/>
                    </m:rPr>
                    <w:rPr>
                      <w:rFonts w:ascii="Cambria Math" w:hAnsi="Cambria Math"/>
                      <w:kern w:val="0"/>
                      <w:sz w:val="24"/>
                      <w:lang w:bidi="ar"/>
                    </w:rPr>
                    <m:t>|</m:t>
                  </m:r>
                  <m:ctrlPr>
                    <w:rPr>
                      <w:rFonts w:ascii="Cambria Math" w:hAnsi="Cambria Math"/>
                      <w:kern w:val="0"/>
                      <w:sz w:val="24"/>
                      <w:lang w:bidi="ar"/>
                    </w:rPr>
                  </m:ctrlPr>
                </m:den>
              </m:f>
              <m:nary>
                <m:naryPr>
                  <m:chr m:val="∑"/>
                  <m:grow m:val="1"/>
                  <m:limLoc m:val="undOvr"/>
                  <m:supHide m:val="1"/>
                  <m:ctrlPr>
                    <w:rPr>
                      <w:rFonts w:ascii="Cambria Math" w:hAnsi="Cambria Math"/>
                      <w:kern w:val="0"/>
                      <w:sz w:val="24"/>
                      <w:lang w:bidi="ar"/>
                    </w:rPr>
                  </m:ctrlPr>
                </m:naryPr>
                <m:sub>
                  <m:r>
                    <m:rPr/>
                    <w:rPr>
                      <w:rFonts w:ascii="Cambria Math" w:hAnsi="Cambria Math"/>
                      <w:kern w:val="0"/>
                      <w:sz w:val="24"/>
                      <w:lang w:bidi="ar"/>
                    </w:rPr>
                    <m:t>p</m:t>
                  </m:r>
                  <m:r>
                    <m:rPr>
                      <m:sty m:val="p"/>
                    </m:rPr>
                    <w:rPr>
                      <w:rFonts w:ascii="Cambria Math" w:hAnsi="Cambria Math"/>
                      <w:kern w:val="0"/>
                      <w:sz w:val="24"/>
                      <w:lang w:bidi="ar"/>
                    </w:rPr>
                    <m:t>∈</m:t>
                  </m:r>
                  <m:sSubSup>
                    <m:sSubSupPr>
                      <m:ctrlPr>
                        <w:rPr>
                          <w:rFonts w:ascii="Cambria Math" w:hAnsi="Cambria Math"/>
                          <w:kern w:val="0"/>
                          <w:sz w:val="24"/>
                          <w:lang w:bidi="ar"/>
                        </w:rPr>
                      </m:ctrlPr>
                    </m:sSubSupPr>
                    <m:e>
                      <m:r>
                        <m:rPr>
                          <m:sty m:val="p"/>
                          <m:scr m:val="script"/>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up>
                      <m:r>
                        <m:rPr>
                          <m:sty m:val="p"/>
                        </m:rPr>
                        <w:rPr>
                          <w:rFonts w:ascii="Cambria Math" w:hAnsi="Cambria Math"/>
                          <w:kern w:val="0"/>
                          <w:sz w:val="24"/>
                          <w:lang w:bidi="ar"/>
                        </w:rPr>
                        <m:t>(</m:t>
                      </m:r>
                      <m:r>
                        <m:rPr/>
                        <w:rPr>
                          <w:rFonts w:ascii="Cambria Math" w:hAnsi="Cambria Math"/>
                          <w:kern w:val="0"/>
                          <w:sz w:val="24"/>
                          <w:lang w:bidi="ar"/>
                        </w:rPr>
                        <m:t>p</m:t>
                      </m:r>
                      <m:r>
                        <m:rPr>
                          <m:sty m:val="p"/>
                        </m:rPr>
                        <w:rPr>
                          <w:rFonts w:ascii="Cambria Math" w:hAnsi="Cambria Math"/>
                          <w:kern w:val="0"/>
                          <w:sz w:val="24"/>
                          <w:lang w:bidi="ar"/>
                        </w:rPr>
                        <m:t>)</m:t>
                      </m:r>
                      <m:ctrlPr>
                        <w:rPr>
                          <w:rFonts w:ascii="Cambria Math" w:hAnsi="Cambria Math"/>
                          <w:kern w:val="0"/>
                          <w:sz w:val="24"/>
                          <w:lang w:bidi="ar"/>
                        </w:rPr>
                      </m:ctrlPr>
                    </m:sup>
                  </m:sSubSup>
                  <m:ctrlPr>
                    <w:rPr>
                      <w:rFonts w:ascii="Cambria Math" w:hAnsi="Cambria Math"/>
                      <w:kern w:val="0"/>
                      <w:sz w:val="24"/>
                      <w:lang w:bidi="ar"/>
                    </w:rPr>
                  </m:ctrlPr>
                </m:sub>
                <m:sup>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f>
                <m:fPr>
                  <m:ctrlPr>
                    <w:rPr>
                      <w:rFonts w:ascii="Cambria Math" w:hAnsi="Cambria Math"/>
                      <w:kern w:val="0"/>
                      <w:sz w:val="24"/>
                      <w:lang w:bidi="ar"/>
                    </w:rPr>
                  </m:ctrlPr>
                </m:fPr>
                <m:num>
                  <m:r>
                    <m:rPr/>
                    <w:rPr>
                      <w:rFonts w:ascii="Cambria Math" w:hAnsi="Cambria Math"/>
                      <w:kern w:val="0"/>
                      <w:sz w:val="24"/>
                      <w:lang w:bidi="ar"/>
                    </w:rPr>
                    <m:t>d</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d</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3.6</m:t>
                  </m:r>
                  <m:ctrlPr>
                    <w:rPr>
                      <w:rFonts w:ascii="Cambria Math" w:hAnsi="Cambria Math"/>
                      <w:kern w:val="0"/>
                      <w:sz w:val="24"/>
                      <w:lang w:bidi="ar"/>
                    </w:rPr>
                  </m:ctrlPr>
                </m:e>
              </m:d>
              <m:ctrlPr>
                <w:rPr>
                  <w:rFonts w:ascii="Cambria Math" w:hAnsi="Cambria Math"/>
                  <w:kern w:val="0"/>
                  <w:sz w:val="24"/>
                  <w:lang w:bidi="ar"/>
                </w:rPr>
              </m:ctrlPr>
            </m:e>
          </m:eqArr>
        </m:oMath>
      </m:oMathPara>
    </w:p>
    <w:p w14:paraId="3B02C678">
      <w:pPr>
        <w:snapToGrid w:val="0"/>
        <w:spacing w:line="360" w:lineRule="auto"/>
        <w:rPr>
          <w:rFonts w:ascii="Times New Roman" w:hAnsi="Times New Roman"/>
          <w:kern w:val="0"/>
          <w:sz w:val="24"/>
          <w:lang w:bidi="ar"/>
        </w:rPr>
      </w:pPr>
      <w:r>
        <w:rPr>
          <w:rFonts w:ascii="Times New Roman" w:hAnsi="Times New Roman"/>
          <w:kern w:val="0"/>
          <w:sz w:val="24"/>
          <w:lang w:bidi="ar"/>
        </w:rPr>
        <w:t>保留所有伪 spot 之间的连接边，得到伪 spot 图</w:t>
      </w:r>
      <m:oMath>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w:t>
      </w:r>
    </w:p>
    <w:p w14:paraId="01335E9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对上述两个图中边的欧几里得距离</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oMath>
      <w:r>
        <w:rPr>
          <w:rFonts w:ascii="Times New Roman" w:hAnsi="Times New Roman"/>
          <w:kern w:val="0"/>
          <w:sz w:val="24"/>
          <w:lang w:bidi="ar"/>
        </w:rPr>
        <w:t>进行归一化</w:t>
      </w:r>
      <w:r>
        <w:rPr>
          <w:rFonts w:hint="eastAsia" w:ascii="Times New Roman" w:hAnsi="Times New Roman"/>
          <w:kern w:val="0"/>
          <w:sz w:val="24"/>
          <w:lang w:bidi="ar"/>
        </w:rPr>
        <w:t>：</w:t>
      </w:r>
    </w:p>
    <w:p w14:paraId="1523D495">
      <w:pPr>
        <w:spacing w:line="360" w:lineRule="auto"/>
        <w:rPr>
          <w:rFonts w:ascii="Times New Roman" w:hAnsi="Times New Roman"/>
          <w:kern w:val="0"/>
          <w:sz w:val="24"/>
          <w:lang w:bidi="ar"/>
        </w:rPr>
      </w:pPr>
      <m:oMathPara>
        <m:oMathParaPr>
          <m:jc m:val="left"/>
        </m:oMathParaPr>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hint="eastAsia" w:ascii="Cambria Math" w:hAnsi="Cambria Math"/>
                          <w:kern w:val="0"/>
                          <w:sz w:val="24"/>
                          <w:lang w:bidi="ar"/>
                        </w:rPr>
                        <m:t>w</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hint="eastAsia"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=1−</m:t>
              </m:r>
              <m:f>
                <m:fPr>
                  <m:ctrlPr>
                    <w:rPr>
                      <w:rFonts w:ascii="Cambria Math" w:hAnsi="Cambria Math"/>
                      <w:kern w:val="0"/>
                      <w:sz w:val="24"/>
                      <w:lang w:bidi="ar"/>
                    </w:rPr>
                  </m:ctrlPr>
                </m:fPr>
                <m:num>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ctrlPr>
                    <w:rPr>
                      <w:rFonts w:ascii="Cambria Math" w:hAnsi="Cambria Math"/>
                      <w:kern w:val="0"/>
                      <w:sz w:val="24"/>
                      <w:lang w:bidi="ar"/>
                    </w:rPr>
                  </m:ctrlPr>
                </m:num>
                <m:den>
                  <m:func>
                    <m:funcPr>
                      <m:ctrlPr>
                        <w:rPr>
                          <w:rFonts w:ascii="Cambria Math" w:hAnsi="Cambria Math"/>
                          <w:kern w:val="0"/>
                          <w:sz w:val="24"/>
                          <w:lang w:bidi="ar"/>
                        </w:rPr>
                      </m:ctrlPr>
                    </m:funcPr>
                    <m:fName>
                      <m:r>
                        <m:rPr>
                          <m:sty m:val="p"/>
                        </m:rPr>
                        <w:rPr>
                          <w:rFonts w:ascii="Cambria Math" w:hAnsi="Cambria Math"/>
                          <w:kern w:val="0"/>
                          <w:sz w:val="24"/>
                          <w:lang w:bidi="ar"/>
                        </w:rPr>
                        <m:t>max</m:t>
                      </m:r>
                      <m:ctrlPr>
                        <w:rPr>
                          <w:rFonts w:ascii="Cambria Math" w:hAnsi="Cambria Math"/>
                          <w:kern w:val="0"/>
                          <w:sz w:val="24"/>
                          <w:lang w:bidi="ar"/>
                        </w:rPr>
                      </m:ctrlPr>
                    </m:fName>
                    <m:e>
                      <m:d>
                        <m:dPr>
                          <m:ctrlPr>
                            <w:rPr>
                              <w:rFonts w:ascii="Cambria Math" w:hAnsi="Cambria Math"/>
                              <w:kern w:val="0"/>
                              <w:sz w:val="24"/>
                              <w:lang w:bidi="ar"/>
                            </w:rPr>
                          </m:ctrlPr>
                        </m:dPr>
                        <m:e>
                          <m:r>
                            <m:rPr/>
                            <w:rPr>
                              <w:rFonts w:ascii="Cambria Math" w:hAnsi="Cambria Math"/>
                              <w:kern w:val="0"/>
                              <w:sz w:val="24"/>
                              <w:lang w:bidi="ar"/>
                            </w:rPr>
                            <m:t>d</m:t>
                          </m:r>
                          <m:ctrlPr>
                            <w:rPr>
                              <w:rFonts w:ascii="Cambria Math" w:hAnsi="Cambria Math"/>
                              <w:kern w:val="0"/>
                              <w:sz w:val="24"/>
                              <w:lang w:bidi="ar"/>
                            </w:rPr>
                          </m:ctrlPr>
                        </m:e>
                      </m:d>
                      <m:ctrlPr>
                        <w:rPr>
                          <w:rFonts w:ascii="Cambria Math" w:hAnsi="Cambria Math"/>
                          <w:kern w:val="0"/>
                          <w:sz w:val="24"/>
                          <w:lang w:bidi="ar"/>
                        </w:rPr>
                      </m:ctrlPr>
                    </m:e>
                  </m:func>
                  <m:ctrlPr>
                    <w:rPr>
                      <w:rFonts w:ascii="Cambria Math" w:hAnsi="Cambria Math"/>
                      <w:kern w:val="0"/>
                      <w:sz w:val="24"/>
                      <w:lang w:bidi="ar"/>
                    </w:rPr>
                  </m:ctrlPr>
                </m:den>
              </m:f>
              <m:r>
                <m:rPr>
                  <m:sty m:val="p"/>
                </m:rPr>
                <w:rPr>
                  <w:rFonts w:ascii="Cambria Math" w:hAnsi="Cambria Math"/>
                  <w:kern w:val="0"/>
                  <w:sz w:val="24"/>
                  <w:lang w:bidi="ar"/>
                </w:rPr>
                <m:t>#</m:t>
              </m:r>
              <m:d>
                <m:dPr>
                  <m:ctrlPr>
                    <w:rPr>
                      <w:rFonts w:ascii="Cambria Math" w:hAnsi="Cambria Math"/>
                      <w:kern w:val="0"/>
                      <w:sz w:val="24"/>
                      <w:lang w:bidi="ar"/>
                    </w:rPr>
                  </m:ctrlPr>
                </m:dPr>
                <m:e>
                  <m:r>
                    <m:rPr>
                      <m:sty m:val="p"/>
                    </m:rPr>
                    <w:rPr>
                      <w:rFonts w:ascii="Cambria Math" w:hAnsi="Cambria Math"/>
                      <w:kern w:val="0"/>
                      <w:sz w:val="24"/>
                      <w:lang w:bidi="ar"/>
                    </w:rPr>
                    <m:t>3.7</m:t>
                  </m:r>
                  <m:ctrlPr>
                    <w:rPr>
                      <w:rFonts w:ascii="Cambria Math" w:hAnsi="Cambria Math"/>
                      <w:kern w:val="0"/>
                      <w:sz w:val="24"/>
                      <w:lang w:bidi="ar"/>
                    </w:rPr>
                  </m:ctrlPr>
                </m:e>
              </m:d>
              <m:ctrlPr>
                <w:rPr>
                  <w:rFonts w:ascii="Cambria Math" w:hAnsi="Cambria Math"/>
                  <w:kern w:val="0"/>
                  <w:sz w:val="24"/>
                  <w:lang w:bidi="ar"/>
                </w:rPr>
              </m:ctrlPr>
            </m:e>
          </m:eqArr>
        </m:oMath>
      </m:oMathPara>
    </w:p>
    <w:p w14:paraId="2A5BF63D">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oMath>
      <w:r>
        <w:rPr>
          <w:rFonts w:hint="eastAsia" w:ascii="Times New Roman" w:hAnsi="Times New Roman"/>
          <w:kern w:val="0"/>
          <w:sz w:val="24"/>
          <w:lang w:bidi="ar"/>
        </w:rPr>
        <w:t>，最终获得加权邻接矩阵</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w:t>
      </w:r>
    </w:p>
    <w:bookmarkEnd w:id="17"/>
    <w:p w14:paraId="02DCFA65">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3结构化图对比学习模块</w:t>
      </w:r>
    </w:p>
    <w:p w14:paraId="0C836CB8">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在 GCIRS 中，采用基于图对比学习的图神经网络框架对模型进行训练，旨在从真实 spot 和伪 spot 的结构中提取共享潜在表示，并提升对细胞类型组成的预测能力。</w:t>
      </w:r>
    </w:p>
    <w:p w14:paraId="1A69C788">
      <w:pPr>
        <w:pStyle w:val="4"/>
        <w:spacing w:before="120" w:after="120" w:line="300" w:lineRule="auto"/>
        <w:jc w:val="left"/>
        <w:rPr>
          <w:rFonts w:hint="eastAsia" w:ascii="宋体" w:hAnsi="宋体" w:eastAsia="宋体" w:cs="宋体"/>
          <w:b w:val="0"/>
          <w:bCs w:val="0"/>
          <w:sz w:val="24"/>
          <w:szCs w:val="24"/>
          <w:lang w:bidi="ar"/>
        </w:rPr>
      </w:pPr>
      <w:bookmarkStart w:id="23" w:name="_Hlk201755737"/>
      <w:r>
        <w:rPr>
          <w:rFonts w:hint="eastAsia" w:ascii="宋体" w:hAnsi="宋体" w:eastAsia="宋体" w:cs="宋体"/>
          <w:b w:val="0"/>
          <w:bCs w:val="0"/>
          <w:sz w:val="24"/>
          <w:szCs w:val="24"/>
          <w:lang w:bidi="ar"/>
        </w:rPr>
        <w:t>3.1.3.1图卷积编码器</w:t>
      </w:r>
    </w:p>
    <w:bookmarkEnd w:id="23"/>
    <w:p w14:paraId="22428FF4">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为真实spot图采用图卷积编码器（GCN）对图结构信息进行特征编码，分别对应的特征矩阵</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m:oMath>
        <w:bookmarkStart w:id="24" w:name="_Hlk201538261"/>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w:bookmarkEnd w:id="24"/>
            <m:ctrlPr>
              <w:rPr>
                <w:rFonts w:ascii="Cambria Math" w:hAnsi="Cambria Math"/>
                <w:kern w:val="0"/>
                <w:sz w:val="24"/>
                <w:lang w:bidi="ar"/>
              </w:rPr>
            </m:ctrlPr>
          </m:sup>
        </m:sSup>
      </m:oMath>
      <w:r>
        <w:rPr>
          <w:rFonts w:hint="eastAsia" w:ascii="Times New Roman" w:hAnsi="Times New Roman"/>
          <w:kern w:val="0"/>
          <w:sz w:val="24"/>
          <w:lang w:bidi="ar"/>
        </w:rPr>
        <w:t>，以及邻接矩阵</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，GCN的前向传播形式如下：</w:t>
      </w:r>
    </w:p>
    <w:p w14:paraId="5305C726">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+1)</m:t>
                  </m:r>
                  <m:ctrlPr>
                    <w:rPr>
                      <w:rFonts w:ascii="Cambria Math" w:hAnsi="Cambria Math"/>
                      <w:kern w:val="0"/>
                      <w:sz w:val="24"/>
                      <w:lang w:bidi="ar"/>
                    </w:rPr>
                  </m:ctrlPr>
                </m:sup>
              </m:sSup>
              <m:r>
                <m:rPr>
                  <m:sty m:val="p"/>
                </m:rPr>
                <w:rPr>
                  <w:rFonts w:ascii="Cambria Math" w:hAnsi="Cambria Math"/>
                  <w:kern w:val="0"/>
                  <w:sz w:val="24"/>
                  <w:lang w:bidi="ar"/>
                </w:rPr>
                <m:t>=</m:t>
              </m:r>
              <m:r>
                <m:rPr/>
                <w:rPr>
                  <w:rFonts w:ascii="Cambria Math" w:hAnsi="Cambria Math"/>
                  <w:kern w:val="0"/>
                  <w:sz w:val="24"/>
                  <w:lang w:bidi="ar"/>
                </w:rPr>
                <m:t>σ</m:t>
              </m:r>
              <m:d>
                <m:dPr>
                  <m:ctrlPr>
                    <w:rPr>
                      <w:rFonts w:ascii="Cambria Math" w:hAnsi="Cambria Math"/>
                      <w:kern w:val="0"/>
                      <w:sz w:val="24"/>
                      <w:lang w:bidi="ar"/>
                    </w:rPr>
                  </m:ctrlPr>
                </m:dPr>
                <m:e>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W</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3.8</m:t>
                  </m:r>
                  <m:ctrlPr>
                    <w:rPr>
                      <w:rFonts w:ascii="Cambria Math" w:hAnsi="Cambria Math"/>
                      <w:kern w:val="0"/>
                      <w:sz w:val="24"/>
                      <w:lang w:bidi="ar"/>
                    </w:rPr>
                  </m:ctrlPr>
                </m:e>
              </m:d>
              <m:ctrlPr>
                <w:rPr>
                  <w:rFonts w:ascii="Cambria Math" w:hAnsi="Cambria Math"/>
                  <w:kern w:val="0"/>
                  <w:sz w:val="24"/>
                  <w:lang w:bidi="ar"/>
                </w:rPr>
              </m:ctrlPr>
            </m:e>
          </m:eqArr>
        </m:oMath>
      </m:oMathPara>
    </w:p>
    <w:p w14:paraId="3302E11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其中</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r>
          <m:rPr>
            <m:sty m:val="p"/>
          </m:rPr>
          <w:rPr>
            <w:rFonts w:ascii="Cambria Math" w:hAnsi="Cambria Math"/>
            <w:kern w:val="0"/>
            <w:sz w:val="24"/>
            <w:lang w:bidi="ar"/>
          </w:rPr>
          <m:t>=</m:t>
        </m:r>
        <m:r>
          <m:rPr/>
          <w:rPr>
            <w:rFonts w:ascii="Cambria Math" w:hAnsi="Cambria Math"/>
            <w:kern w:val="0"/>
            <w:sz w:val="24"/>
            <w:lang w:bidi="ar"/>
          </w:rPr>
          <m:t>A</m:t>
        </m:r>
        <m:r>
          <m:rPr>
            <m:sty m:val="p"/>
          </m:rPr>
          <w:rPr>
            <w:rFonts w:ascii="Cambria Math" w:hAnsi="Cambria Math"/>
            <w:kern w:val="0"/>
            <w:sz w:val="24"/>
            <w:lang w:bidi="ar"/>
          </w:rPr>
          <m:t>+</m:t>
        </m:r>
        <m:r>
          <m:rPr/>
          <w:rPr>
            <w:rFonts w:ascii="Cambria Math" w:hAnsi="Cambria Math"/>
            <w:kern w:val="0"/>
            <w:sz w:val="24"/>
            <w:lang w:bidi="ar"/>
          </w:rPr>
          <m:t>I</m:t>
        </m:r>
      </m:oMath>
      <w:r>
        <w:rPr>
          <w:rFonts w:hint="eastAsia" w:ascii="Times New Roman" w:hAnsi="Times New Roman"/>
          <w:kern w:val="0"/>
          <w:sz w:val="24"/>
          <w:lang w:bidi="ar"/>
        </w:rPr>
        <w:t>是添加自环后的邻接矩阵，</w:t>
      </w:r>
      <m:oMath>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oMath>
      <w:r>
        <w:rPr>
          <w:rFonts w:hint="eastAsia" w:ascii="Times New Roman" w:hAnsi="Times New Roman"/>
          <w:kern w:val="0"/>
          <w:sz w:val="24"/>
          <w:lang w:bidi="ar"/>
        </w:rPr>
        <w:t>是</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oMath>
      <w:r>
        <w:rPr>
          <w:rFonts w:hint="eastAsia" w:ascii="Times New Roman" w:hAnsi="Times New Roman"/>
          <w:kern w:val="0"/>
          <w:sz w:val="24"/>
          <w:lang w:bidi="ar"/>
        </w:rPr>
        <w:t>的度矩阵，</w:t>
      </w:r>
      <m:oMath>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w:rPr>
                <w:rFonts w:ascii="Cambria Math" w:hAnsi="Cambria Math"/>
                <w:kern w:val="0"/>
                <w:sz w:val="24"/>
                <w:lang w:bidi="ar"/>
              </w:rPr>
              <m:t>l</m:t>
            </m:r>
            <m:ctrlPr>
              <w:rPr>
                <w:rFonts w:ascii="Cambria Math" w:hAnsi="Cambria Math"/>
                <w:kern w:val="0"/>
                <w:sz w:val="24"/>
                <w:lang w:bidi="ar"/>
              </w:rPr>
            </m:ctrlPr>
          </m:sup>
        </m:sSup>
      </m:oMath>
      <w:r>
        <w:rPr>
          <w:rFonts w:hint="eastAsia" w:ascii="Times New Roman" w:hAnsi="Times New Roman"/>
          <w:kern w:val="0"/>
          <w:sz w:val="24"/>
          <w:lang w:bidi="ar"/>
        </w:rPr>
        <w:t>是第</w:t>
      </w:r>
      <m:oMath>
        <m:r>
          <m:rPr/>
          <w:rPr>
            <w:rFonts w:ascii="Cambria Math" w:hAnsi="Cambria Math"/>
            <w:kern w:val="0"/>
            <w:sz w:val="24"/>
            <w:lang w:bidi="ar"/>
          </w:rPr>
          <m:t>l</m:t>
        </m:r>
      </m:oMath>
      <w:r>
        <w:rPr>
          <w:rFonts w:hint="eastAsia" w:ascii="Times New Roman" w:hAnsi="Times New Roman"/>
          <w:kern w:val="0"/>
          <w:sz w:val="24"/>
          <w:lang w:bidi="ar"/>
        </w:rPr>
        <w:t>层输入特征，</w:t>
      </w:r>
      <m:oMath>
        <m:r>
          <m:rPr/>
          <w:rPr>
            <w:rFonts w:ascii="Cambria Math" w:hAnsi="Cambria Math"/>
            <w:kern w:val="0"/>
            <w:sz w:val="24"/>
            <w:lang w:bidi="ar"/>
          </w:rPr>
          <m:t>W</m:t>
        </m:r>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oMath>
      <w:r>
        <w:rPr>
          <w:rFonts w:ascii="Times New Roman" w:hAnsi="Times New Roman"/>
          <w:kern w:val="0"/>
          <w:sz w:val="24"/>
          <w:lang w:bidi="ar"/>
        </w:rPr>
        <w:t>为可学习参数</w:t>
      </w:r>
      <w:r>
        <w:rPr>
          <w:rFonts w:hint="eastAsia" w:ascii="Times New Roman" w:hAnsi="Times New Roman"/>
          <w:kern w:val="0"/>
          <w:sz w:val="24"/>
          <w:lang w:bidi="ar"/>
        </w:rPr>
        <w:t>，</w:t>
      </w:r>
      <m:oMath>
        <m:r>
          <m:rPr/>
          <w:rPr>
            <w:rFonts w:ascii="Cambria Math" w:hAnsi="Cambria Math"/>
            <w:kern w:val="0"/>
            <w:sz w:val="24"/>
            <w:lang w:bidi="ar"/>
          </w:rPr>
          <m:t>σ</m:t>
        </m:r>
        <m:r>
          <m:rPr>
            <m:sty m:val="p"/>
          </m:rPr>
          <w:rPr>
            <w:rFonts w:ascii="Cambria Math" w:hAnsi="Cambria Math"/>
            <w:kern w:val="0"/>
            <w:sz w:val="24"/>
            <w:lang w:bidi="ar"/>
          </w:rPr>
          <m:t>(⋅)</m:t>
        </m:r>
      </m:oMath>
      <w:r>
        <w:rPr>
          <w:rFonts w:hint="eastAsia" w:ascii="Times New Roman" w:hAnsi="Times New Roman"/>
          <w:kern w:val="0"/>
          <w:sz w:val="24"/>
          <w:lang w:bidi="ar"/>
        </w:rPr>
        <w:t>是激活函数如</w:t>
      </w:r>
      <w:r>
        <w:rPr>
          <w:rFonts w:ascii="Times New Roman" w:hAnsi="Times New Roman"/>
          <w:kern w:val="0"/>
          <w:sz w:val="24"/>
          <w:lang w:bidi="ar"/>
        </w:rPr>
        <w:t>LeakyReLU</w:t>
      </w:r>
      <w:r>
        <w:rPr>
          <w:rFonts w:hint="eastAsia" w:ascii="Times New Roman" w:hAnsi="Times New Roman"/>
          <w:kern w:val="0"/>
          <w:sz w:val="24"/>
          <w:lang w:bidi="ar"/>
        </w:rPr>
        <w:t>。</w:t>
      </w:r>
    </w:p>
    <w:p w14:paraId="0E2CDFB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分别对spot链接图和伪spot链接图分别使用GCN，输入spot和伪spot的表达式矩阵</w:t>
      </w:r>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，以及它们的权重矩阵</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GCN 使用两层卷积，分别编码真实</w:t>
      </w:r>
      <w:r>
        <w:rPr>
          <w:rFonts w:hint="eastAsia" w:ascii="Times New Roman" w:hAnsi="Times New Roman"/>
          <w:kern w:val="0"/>
          <w:sz w:val="24"/>
          <w:lang w:bidi="ar"/>
        </w:rPr>
        <w:t>spot</w:t>
      </w:r>
      <w:r>
        <w:rPr>
          <w:rFonts w:ascii="Times New Roman" w:hAnsi="Times New Roman"/>
          <w:kern w:val="0"/>
          <w:sz w:val="24"/>
          <w:lang w:bidi="ar"/>
        </w:rPr>
        <w:t>和伪 spot 图，得到共享表示</w:t>
      </w:r>
      <w:r>
        <w:rPr>
          <w:rFonts w:hint="eastAsia" w:ascii="Times New Roman" w:hAnsi="Times New Roman"/>
          <w:kern w:val="0"/>
          <w:sz w:val="24"/>
          <w:lang w:bidi="ar"/>
        </w:rPr>
        <w:t>：</w:t>
      </w:r>
    </w:p>
    <w:p w14:paraId="2D3B1AB4">
      <w:pPr>
        <w:spacing w:line="360" w:lineRule="auto"/>
        <w:ind w:firstLine="480" w:firstLineChars="200"/>
        <w:rPr>
          <w:rFonts w:ascii="Times New Roman" w:hAnsi="Times New Roman"/>
          <w:kern w:val="0"/>
          <w:sz w:val="24"/>
          <w:lang w:bidi="ar"/>
        </w:rPr>
      </w:pPr>
      <m:oMathPara>
        <m:oMath>
          <m:eqArr>
            <w:bookmarkStart w:id="25" w:name="OLE_LINK46"/>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S</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3.9</m:t>
                  </m:r>
                  <w:bookmarkEnd w:id="25"/>
                  <m:ctrlPr>
                    <w:rPr>
                      <w:rFonts w:ascii="Cambria Math" w:hAnsi="Cambria Math"/>
                      <w:kern w:val="0"/>
                      <w:sz w:val="24"/>
                      <w:lang w:bidi="ar"/>
                    </w:rPr>
                  </m:ctrlPr>
                </m:e>
              </m:d>
              <m:ctrlPr>
                <w:rPr>
                  <w:rFonts w:ascii="Cambria Math" w:hAnsi="Cambria Math"/>
                  <w:kern w:val="0"/>
                  <w:sz w:val="24"/>
                  <w:lang w:bidi="ar"/>
                </w:rPr>
              </m:ctrlPr>
            </m:e>
          </m:eqArr>
        </m:oMath>
      </m:oMathPara>
    </w:p>
    <w:p w14:paraId="6A8FB3F1">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hint="eastAsia"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P</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3.10</m:t>
                  </m:r>
                  <m:ctrlPr>
                    <w:rPr>
                      <w:rFonts w:ascii="Cambria Math" w:hAnsi="Cambria Math"/>
                      <w:kern w:val="0"/>
                      <w:sz w:val="24"/>
                      <w:lang w:bidi="ar"/>
                    </w:rPr>
                  </m:ctrlPr>
                </m:e>
              </m:d>
              <m:ctrlPr>
                <w:rPr>
                  <w:rFonts w:ascii="Cambria Math" w:hAnsi="Cambria Math"/>
                  <w:kern w:val="0"/>
                  <w:sz w:val="24"/>
                  <w:lang w:bidi="ar"/>
                </w:rPr>
              </m:ctrlPr>
            </m:e>
          </m:eqArr>
        </m:oMath>
      </m:oMathPara>
    </w:p>
    <w:p w14:paraId="012ACA8C">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3.1.3.1多任务优化损失</w:t>
      </w:r>
    </w:p>
    <w:p w14:paraId="1F8D0314">
      <w:pPr>
        <w:spacing w:line="360" w:lineRule="auto"/>
        <w:ind w:firstLine="480" w:firstLineChars="200"/>
        <w:rPr>
          <w:rFonts w:ascii="Times New Roman" w:hAnsi="Times New Roman"/>
          <w:kern w:val="0"/>
          <w:sz w:val="24"/>
          <w:lang w:bidi="ar"/>
        </w:rPr>
      </w:pPr>
      <w:bookmarkStart w:id="26" w:name="OLE_LINK10"/>
      <w:r>
        <w:rPr>
          <w:rFonts w:ascii="Times New Roman" w:hAnsi="Times New Roman"/>
          <w:kern w:val="0"/>
          <w:sz w:val="24"/>
          <w:lang w:bidi="ar"/>
        </w:rPr>
        <w:t>GCIRS 采用结构对比损失与 KL 散度损失联合训练</w:t>
      </w:r>
      <w:r>
        <w:rPr>
          <w:rFonts w:hint="eastAsia" w:ascii="Times New Roman" w:hAnsi="Times New Roman"/>
          <w:kern w:val="0"/>
          <w:sz w:val="24"/>
          <w:lang w:bidi="ar"/>
        </w:rPr>
        <w:t>。</w:t>
      </w:r>
    </w:p>
    <w:p w14:paraId="7FBBD9C6">
      <w:pPr>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将伪 spot 的共享表示</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输入线性解码器预测细胞组成：</w:t>
      </w:r>
    </w:p>
    <w:p w14:paraId="649E8B05">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nor/>
                      <m:sty m:val="p"/>
                    </m:rPr>
                    <w:rPr>
                      <w:rFonts w:ascii="Times New Roman" w:hAnsi="Times New Roman"/>
                      <w:b w:val="0"/>
                      <w:i w:val="0"/>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3.11</m:t>
                  </m:r>
                  <m:ctrlPr>
                    <w:rPr>
                      <w:rFonts w:ascii="Cambria Math" w:hAnsi="Cambria Math"/>
                      <w:kern w:val="0"/>
                      <w:sz w:val="24"/>
                      <w:lang w:bidi="ar"/>
                    </w:rPr>
                  </m:ctrlPr>
                </m:e>
              </m:d>
              <m:ctrlPr>
                <w:rPr>
                  <w:rFonts w:ascii="Cambria Math" w:hAnsi="Cambria Math"/>
                  <w:kern w:val="0"/>
                  <w:sz w:val="24"/>
                  <w:lang w:bidi="ar"/>
                </w:rPr>
              </m:ctrlPr>
            </m:e>
          </m:eqArr>
        </m:oMath>
      </m:oMathPara>
    </w:p>
    <w:p w14:paraId="31483607">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d</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hint="eastAsia" w:ascii="Times New Roman" w:hAnsi="Times New Roman"/>
          <w:kern w:val="0"/>
          <w:sz w:val="24"/>
          <w:lang w:bidi="ar"/>
        </w:rPr>
        <w:t>为解码器权重。</w:t>
      </w:r>
    </w:p>
    <w:p w14:paraId="3A4D840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使用 KL 散度监督其与真实细胞组成标签</w:t>
      </w:r>
      <m:oMath>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ascii="Times New Roman" w:hAnsi="Times New Roman"/>
          <w:kern w:val="0"/>
          <w:sz w:val="24"/>
          <w:lang w:bidi="ar"/>
        </w:rPr>
        <w:t>的差异</w:t>
      </w:r>
      <w:r>
        <w:rPr>
          <w:rFonts w:hint="eastAsia" w:ascii="Times New Roman" w:hAnsi="Times New Roman"/>
          <w:kern w:val="0"/>
          <w:sz w:val="24"/>
          <w:lang w:bidi="ar"/>
        </w:rPr>
        <w:t>:</w:t>
      </w:r>
    </w:p>
    <w:p w14:paraId="4ACE15EB">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=KL(log</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3.12</m:t>
                  </m:r>
                  <m:ctrlPr>
                    <w:rPr>
                      <w:rFonts w:ascii="Cambria Math" w:hAnsi="Cambria Math"/>
                      <w:kern w:val="0"/>
                      <w:sz w:val="24"/>
                      <w:lang w:bidi="ar"/>
                    </w:rPr>
                  </m:ctrlPr>
                </m:e>
              </m:d>
              <m:ctrlPr>
                <w:rPr>
                  <w:rFonts w:ascii="Cambria Math" w:hAnsi="Cambria Math"/>
                  <w:kern w:val="0"/>
                  <w:sz w:val="24"/>
                  <w:lang w:bidi="ar"/>
                </w:rPr>
              </m:ctrlPr>
            </m:e>
          </m:eqArr>
        </m:oMath>
      </m:oMathPara>
    </w:p>
    <w:p w14:paraId="5F2BC65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同时</w:t>
      </w:r>
      <w:r>
        <w:rPr>
          <w:rFonts w:ascii="Times New Roman" w:hAnsi="Times New Roman"/>
          <w:kern w:val="0"/>
          <w:sz w:val="24"/>
          <w:lang w:bidi="ar"/>
        </w:rPr>
        <w:t>将</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m:t>
            </m:r>
            <m:ctrlPr>
              <w:rPr>
                <w:rFonts w:ascii="Cambria Math" w:hAnsi="Cambria Math"/>
                <w:kern w:val="0"/>
                <w:sz w:val="24"/>
                <w:lang w:bidi="ar"/>
              </w:rPr>
            </m:ctrlPr>
          </m:sub>
        </m:sSub>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hint="eastAsia" w:ascii="Times New Roman" w:hAnsi="Times New Roman"/>
          <w:kern w:val="0"/>
          <w:sz w:val="24"/>
          <w:lang w:bidi="ar"/>
        </w:rPr>
        <w:t>分别输入两层</w:t>
      </w:r>
      <w:r>
        <w:rPr>
          <w:rFonts w:ascii="Times New Roman" w:hAnsi="Times New Roman"/>
          <w:kern w:val="0"/>
          <w:sz w:val="24"/>
          <w:lang w:bidi="ar"/>
        </w:rPr>
        <w:t xml:space="preserve"> MLP 得到对比表示 </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p,i</m:t>
            </m:r>
            <m:ctrlPr>
              <w:rPr>
                <w:rFonts w:ascii="Cambria Math" w:hAnsi="Cambria Math"/>
                <w:kern w:val="0"/>
                <w:sz w:val="24"/>
                <w:lang w:bidi="ar"/>
              </w:rPr>
            </m:ctrlPr>
          </m:sub>
        </m:sSub>
      </m:oMath>
      <w:r>
        <w:rPr>
          <w:rFonts w:hint="eastAsia" w:ascii="Times New Roman" w:hAnsi="Times New Roman"/>
          <w:kern w:val="0"/>
          <w:sz w:val="24"/>
          <w:lang w:bidi="ar"/>
        </w:rPr>
        <w:t>，</w:t>
      </w:r>
      <w:r>
        <w:rPr>
          <w:rFonts w:ascii="Times New Roman" w:hAnsi="Times New Roman"/>
          <w:kern w:val="0"/>
          <w:sz w:val="24"/>
          <w:lang w:bidi="ar"/>
        </w:rPr>
        <w:t>进行 L2 归一化，</w:t>
      </w:r>
      <w:r>
        <w:rPr>
          <w:rFonts w:hint="eastAsia" w:ascii="Times New Roman" w:hAnsi="Times New Roman"/>
          <w:kern w:val="0"/>
          <w:sz w:val="24"/>
          <w:lang w:bidi="ar"/>
        </w:rPr>
        <w:t>基于</w:t>
      </w:r>
      <w:r>
        <w:rPr>
          <w:rFonts w:ascii="Times New Roman" w:hAnsi="Times New Roman"/>
          <w:kern w:val="0"/>
          <w:sz w:val="24"/>
          <w:lang w:bidi="ar"/>
        </w:rPr>
        <w:t xml:space="preserve"> InfoNCE 损失进行结构对齐</w:t>
      </w:r>
      <w:r>
        <w:rPr>
          <w:rFonts w:hint="eastAsia" w:ascii="Times New Roman" w:hAnsi="Times New Roman"/>
          <w:kern w:val="0"/>
          <w:sz w:val="24"/>
          <w:lang w:bidi="ar"/>
        </w:rPr>
        <w:t>：</w:t>
      </w:r>
    </w:p>
    <w:p w14:paraId="2D65D080">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 xml:space="preserve">),  </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3.13</m:t>
                  </m:r>
                  <m:ctrlPr>
                    <w:rPr>
                      <w:rFonts w:ascii="Cambria Math" w:hAnsi="Cambria Math"/>
                      <w:kern w:val="0"/>
                      <w:sz w:val="24"/>
                      <w:lang w:bidi="ar"/>
                    </w:rPr>
                  </m:ctrlPr>
                </m:e>
              </m:d>
              <m:ctrlPr>
                <w:rPr>
                  <w:rFonts w:ascii="Cambria Math" w:hAnsi="Cambria Math"/>
                  <w:kern w:val="0"/>
                  <w:sz w:val="24"/>
                  <w:lang w:bidi="ar"/>
                </w:rPr>
              </m:ctrlPr>
            </m:e>
          </m:eqArr>
        </m:oMath>
      </m:oMathPara>
    </w:p>
    <w:p w14:paraId="35FC9BD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w:rPr>
                      <w:rFonts w:ascii="Cambria Math" w:hAnsi="Cambria Math"/>
                      <w:kern w:val="0"/>
                      <w:sz w:val="24"/>
                      <w:lang w:bidi="ar"/>
                    </w:rPr>
                    <m:t>N</m:t>
                  </m:r>
                  <m:ctrlPr>
                    <w:rPr>
                      <w:rFonts w:ascii="Cambria Math" w:hAnsi="Cambria Math"/>
                      <w:kern w:val="0"/>
                      <w:sz w:val="24"/>
                      <w:lang w:bidi="ar"/>
                    </w:rPr>
                  </m:ctrlPr>
                </m:den>
              </m:f>
              <m:nary>
                <m:naryPr>
                  <m:chr m:val="∑"/>
                  <m:grow m:val="1"/>
                  <m:limLoc m:val="undOvr"/>
                  <m:ctrlPr>
                    <w:rPr>
                      <w:rFonts w:ascii="Cambria Math" w:hAnsi="Cambria Math"/>
                      <w:kern w:val="0"/>
                      <w:sz w:val="24"/>
                      <w:lang w:bidi="ar"/>
                    </w:rPr>
                  </m:ctrlPr>
                </m:naryPr>
                <m:sub>
                  <m:r>
                    <m:rPr/>
                    <w:rPr>
                      <w:rFonts w:ascii="Cambria Math" w:hAnsi="Cambria Math"/>
                      <w:kern w:val="0"/>
                      <w:sz w:val="24"/>
                      <w:lang w:bidi="ar"/>
                    </w:rPr>
                    <m:t>i</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log</m:t>
              </m:r>
              <m:f>
                <m:fPr>
                  <m:ctrlPr>
                    <w:rPr>
                      <w:rFonts w:ascii="Cambria Math" w:hAnsi="Cambria Math"/>
                      <w:kern w:val="0"/>
                      <w:sz w:val="24"/>
                      <w:lang w:bidi="ar"/>
                    </w:rPr>
                  </m:ctrlPr>
                </m:fPr>
                <m:num>
                  <m:r>
                    <m:rPr>
                      <m:sty m:val="p"/>
                    </m:rPr>
                    <w:rPr>
                      <w:rFonts w:ascii="Cambria Math" w:hAnsi="Cambria Math"/>
                      <w:kern w:val="0"/>
                      <w:sz w:val="24"/>
                      <w:lang w:bidi="ar"/>
                    </w:rPr>
                    <m:t>exp(si</m:t>
                  </m:r>
                  <m:r>
                    <m:rPr>
                      <m:sty m:val="p"/>
                    </m:rPr>
                    <w:rPr>
                      <w:rFonts w:hint="eastAsia" w:ascii="Cambria Math" w:hAnsi="Cambria Math"/>
                      <w:kern w:val="0"/>
                      <w:sz w:val="24"/>
                      <w:lang w:bidi="ar"/>
                    </w:rPr>
                    <m:t>m</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num>
                <m:den>
                  <m:nary>
                    <m:naryPr>
                      <m:chr m:val="∑"/>
                      <m:grow m:val="1"/>
                      <m:limLoc m:val="subSup"/>
                      <m:ctrlPr>
                        <w:rPr>
                          <w:rFonts w:ascii="Cambria Math" w:hAnsi="Cambria Math"/>
                          <w:kern w:val="0"/>
                          <w:sz w:val="24"/>
                          <w:lang w:bidi="ar"/>
                        </w:rPr>
                      </m:ctrlPr>
                    </m:naryPr>
                    <m:sub>
                      <m:r>
                        <m:rPr/>
                        <w:rPr>
                          <w:rFonts w:ascii="Cambria Math" w:hAnsi="Cambria Math"/>
                          <w:kern w:val="0"/>
                          <w:sz w:val="24"/>
                          <w:lang w:bidi="ar"/>
                        </w:rPr>
                        <m:t>j</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exp(sim(</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3.14</m:t>
                  </m:r>
                  <m:ctrlPr>
                    <w:rPr>
                      <w:rFonts w:ascii="Cambria Math" w:hAnsi="Cambria Math"/>
                      <w:kern w:val="0"/>
                      <w:sz w:val="24"/>
                      <w:lang w:bidi="ar"/>
                    </w:rPr>
                  </m:ctrlPr>
                </m:e>
              </m:d>
              <m:ctrlPr>
                <w:rPr>
                  <w:rFonts w:ascii="Cambria Math" w:hAnsi="Cambria Math"/>
                  <w:kern w:val="0"/>
                  <w:sz w:val="24"/>
                  <w:lang w:bidi="ar"/>
                </w:rPr>
              </m:ctrlPr>
            </m:e>
          </m:eqArr>
        </m:oMath>
      </m:oMathPara>
    </w:p>
    <w:p w14:paraId="36F42D33">
      <w:pPr>
        <w:snapToGrid w:val="0"/>
        <w:spacing w:line="360" w:lineRule="auto"/>
        <w:rPr>
          <w:rFonts w:ascii="Times New Roman" w:hAnsi="Times New Roman"/>
          <w:kern w:val="0"/>
          <w:sz w:val="24"/>
          <w:lang w:bidi="ar"/>
        </w:rPr>
      </w:pPr>
      <m:oMath>
        <m:r>
          <m:rPr>
            <m:sty m:val="p"/>
          </m:rPr>
          <w:rPr>
            <w:rFonts w:ascii="Cambria Math" w:hAnsi="Cambria Math"/>
            <w:kern w:val="0"/>
            <w:sz w:val="24"/>
            <w:lang w:bidi="ar"/>
          </w:rPr>
          <m:t>sim(·,·)</m:t>
        </m:r>
      </m:oMath>
      <w:r>
        <w:rPr>
          <w:rFonts w:hint="eastAsia" w:ascii="Times New Roman" w:hAnsi="Times New Roman"/>
          <w:kern w:val="0"/>
          <w:sz w:val="24"/>
          <w:lang w:bidi="ar"/>
        </w:rPr>
        <w:t xml:space="preserve"> 表示余弦相似度，</w:t>
      </w:r>
      <m:oMath>
        <m:r>
          <m:rPr/>
          <w:rPr>
            <w:rFonts w:ascii="Cambria Math" w:hAnsi="Cambria Math"/>
            <w:kern w:val="0"/>
            <w:sz w:val="24"/>
            <w:lang w:bidi="ar"/>
          </w:rPr>
          <m:t>τ</m:t>
        </m:r>
      </m:oMath>
      <w:r>
        <w:rPr>
          <w:rFonts w:hint="eastAsia" w:ascii="Times New Roman" w:hAnsi="Times New Roman"/>
          <w:kern w:val="0"/>
          <w:sz w:val="24"/>
          <w:lang w:bidi="ar"/>
        </w:rPr>
        <w:t>为温度系数，</w:t>
      </w:r>
      <m:oMath>
        <m:r>
          <m:rPr/>
          <w:rPr>
            <w:rFonts w:ascii="Cambria Math" w:hAnsi="Cambria Math"/>
            <w:kern w:val="0"/>
            <w:sz w:val="24"/>
            <w:lang w:bidi="ar"/>
          </w:rPr>
          <m:t>N</m:t>
        </m:r>
        <m:r>
          <m:rPr>
            <m:sty m:val="p"/>
          </m:rPr>
          <w:rPr>
            <w:rFonts w:ascii="Cambria Math" w:hAnsi="Cambria Math"/>
            <w:kern w:val="0"/>
            <w:sz w:val="24"/>
            <w:lang w:bidi="ar"/>
          </w:rPr>
          <m:t>=min(</m:t>
        </m:r>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m</m:t>
        </m:r>
        <m:r>
          <m:rPr>
            <m:sty m:val="p"/>
          </m:rPr>
          <w:rPr>
            <w:rFonts w:ascii="Cambria Math" w:hAnsi="Cambria Math"/>
            <w:kern w:val="0"/>
            <w:sz w:val="24"/>
            <w:lang w:bidi="ar"/>
          </w:rPr>
          <m:t>)</m:t>
        </m:r>
      </m:oMath>
      <w:r>
        <w:rPr>
          <w:rFonts w:hint="eastAsia" w:ascii="Times New Roman" w:hAnsi="Times New Roman"/>
          <w:kern w:val="0"/>
          <w:sz w:val="24"/>
          <w:lang w:bidi="ar"/>
        </w:rPr>
        <w:t>为参与对比的样本数量。</w:t>
      </w:r>
    </w:p>
    <w:p w14:paraId="5076D50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总损失函数为结构对比损失和KL损失的加权组合：</w:t>
      </w:r>
    </w:p>
    <w:p w14:paraId="79D7E6D4">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Total</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α</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β</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3.15</m:t>
                  </m:r>
                  <m:ctrlPr>
                    <w:rPr>
                      <w:rFonts w:ascii="Cambria Math" w:hAnsi="Cambria Math"/>
                      <w:kern w:val="0"/>
                      <w:sz w:val="24"/>
                      <w:lang w:bidi="ar"/>
                    </w:rPr>
                  </m:ctrlPr>
                </m:e>
              </m:d>
              <m:ctrlPr>
                <w:rPr>
                  <w:rFonts w:ascii="Cambria Math" w:hAnsi="Cambria Math"/>
                  <w:kern w:val="0"/>
                  <w:sz w:val="24"/>
                  <w:lang w:bidi="ar"/>
                </w:rPr>
              </m:ctrlPr>
            </m:e>
          </m:eqArr>
        </m:oMath>
      </m:oMathPara>
    </w:p>
    <w:p w14:paraId="6ABF3911">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最终，GCIRS输出真实spot的</w:t>
      </w:r>
      <w:r>
        <w:rPr>
          <w:rFonts w:ascii="Times New Roman" w:hAnsi="Times New Roman"/>
          <w:kern w:val="0"/>
          <w:sz w:val="24"/>
          <w:lang w:bidi="ar"/>
        </w:rPr>
        <w:t>共享表示</w:t>
      </w:r>
      <m:oMath>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oMath>
      <w:r>
        <w:rPr>
          <w:rFonts w:ascii="Times New Roman" w:hAnsi="Times New Roman"/>
          <w:kern w:val="0"/>
          <w:sz w:val="24"/>
          <w:lang w:bidi="ar"/>
        </w:rPr>
        <w:t>​解码，输出其细胞组成预测</w:t>
      </w:r>
      <w:r>
        <w:rPr>
          <w:rFonts w:hint="eastAsia" w:ascii="Times New Roman" w:hAnsi="Times New Roman"/>
          <w:kern w:val="0"/>
          <w:sz w:val="24"/>
          <w:lang w:bidi="ar"/>
        </w:rPr>
        <w:t>：</w:t>
      </w:r>
    </w:p>
    <w:p w14:paraId="4C3DA7F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acc>
                    <m:accPr>
                      <m:ctrlPr>
                        <w:rPr>
                          <w:rFonts w:ascii="Cambria Math" w:hAnsi="Cambria Math"/>
                          <w:kern w:val="0"/>
                          <w:sz w:val="24"/>
                          <w:lang w:bidi="ar"/>
                        </w:rPr>
                      </m:ctrlPr>
                    </m:accPr>
                    <m:e>
                      <m:r>
                        <m:rPr/>
                        <w:rPr>
                          <w:rFonts w:ascii="Cambria Math" w:hAnsi="Cambria Math"/>
                          <w:kern w:val="0"/>
                          <w:sz w:val="24"/>
                          <w:lang w:bidi="ar"/>
                        </w:rPr>
                        <m:t>Y</m:t>
                      </m:r>
                      <m:ctrlPr>
                        <w:rPr>
                          <w:rFonts w:ascii="Cambria Math" w:hAnsi="Cambria Math"/>
                          <w:kern w:val="0"/>
                          <w:sz w:val="24"/>
                          <w:lang w:bidi="ar"/>
                        </w:rPr>
                      </m:ctrlPr>
                    </m:e>
                  </m:acc>
                  <m:ctrlPr>
                    <w:rPr>
                      <w:rFonts w:ascii="Cambria Math" w:hAnsi="Cambria Math"/>
                      <w:kern w:val="0"/>
                      <w:sz w:val="24"/>
                      <w:lang w:bidi="ar"/>
                    </w:rPr>
                  </m:ctrlPr>
                </m:e>
                <m:sub>
                  <m:r>
                    <m:rPr>
                      <m:sty m:val="p"/>
                    </m:rPr>
                    <w:rPr>
                      <w:rFonts w:ascii="Cambria Math" w:hAnsi="Cambria Math"/>
                      <w:kern w:val="0"/>
                      <w:sz w:val="24"/>
                      <w:lang w:bidi="ar"/>
                    </w:rPr>
                    <m:t>spot</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d>
                <m:dPr>
                  <m:ctrlPr>
                    <w:rPr>
                      <w:rFonts w:ascii="Cambria Math" w:hAnsi="Cambria Math"/>
                      <w:kern w:val="0"/>
                      <w:sz w:val="24"/>
                      <w:lang w:bidi="ar"/>
                    </w:rPr>
                  </m:ctrlPr>
                </m:d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3.16</m:t>
                  </m:r>
                  <m:ctrlPr>
                    <w:rPr>
                      <w:rFonts w:ascii="Cambria Math" w:hAnsi="Cambria Math"/>
                      <w:kern w:val="0"/>
                      <w:sz w:val="24"/>
                      <w:lang w:bidi="ar"/>
                    </w:rPr>
                  </m:ctrlPr>
                </m:e>
              </m:d>
              <m:ctrlPr>
                <w:rPr>
                  <w:rFonts w:ascii="Cambria Math" w:hAnsi="Cambria Math"/>
                  <w:kern w:val="0"/>
                  <w:sz w:val="24"/>
                  <w:lang w:bidi="ar"/>
                </w:rPr>
              </m:ctrlPr>
            </m:e>
          </m:eqArr>
        </m:oMath>
      </m:oMathPara>
      <w:bookmarkEnd w:id="26"/>
    </w:p>
    <w:bookmarkEnd w:id="15"/>
    <w:bookmarkEnd w:id="16"/>
    <w:p w14:paraId="4525FB24">
      <w:pPr>
        <w:spacing w:before="240"/>
        <w:outlineLvl w:val="1"/>
        <w:rPr>
          <w:rFonts w:hint="eastAsia" w:ascii="黑体" w:hAnsi="黑体" w:eastAsia="黑体"/>
          <w:sz w:val="32"/>
          <w:szCs w:val="32"/>
        </w:rPr>
      </w:pPr>
      <w:r>
        <w:rPr>
          <w:rFonts w:ascii="黑体" w:hAnsi="黑体" w:eastAsia="黑体"/>
          <w:sz w:val="32"/>
          <w:szCs w:val="32"/>
        </w:rPr>
        <w:t>3.2</w:t>
      </w:r>
      <w:r>
        <w:rPr>
          <w:rFonts w:hint="eastAsia" w:ascii="黑体" w:hAnsi="黑体" w:eastAsia="黑体"/>
          <w:sz w:val="32"/>
          <w:szCs w:val="32"/>
        </w:rPr>
        <w:t xml:space="preserve"> </w:t>
      </w:r>
      <w:r>
        <w:rPr>
          <w:rFonts w:ascii="黑体" w:hAnsi="黑体" w:eastAsia="黑体"/>
          <w:sz w:val="32"/>
          <w:szCs w:val="32"/>
        </w:rPr>
        <w:t>阶段性成果</w:t>
      </w:r>
    </w:p>
    <w:p w14:paraId="110C931C">
      <w:pPr>
        <w:pStyle w:val="3"/>
        <w:spacing w:before="0" w:line="240" w:lineRule="auto"/>
        <w:rPr>
          <w:rFonts w:hint="eastAsia" w:ascii="宋体" w:hAnsi="宋体"/>
          <w:sz w:val="28"/>
          <w:szCs w:val="28"/>
        </w:rPr>
      </w:pPr>
      <w:r>
        <w:rPr>
          <w:rFonts w:ascii="宋体" w:hAnsi="宋体"/>
          <w:sz w:val="28"/>
          <w:szCs w:val="28"/>
        </w:rPr>
        <w:t>3.2.1  实验结果及分析</w:t>
      </w:r>
    </w:p>
    <w:p w14:paraId="200DDD83">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3.2.1.1数据集</w:t>
      </w:r>
    </w:p>
    <w:p w14:paraId="4EF7AB2D">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实验使用了两组scRNA-seq数据和空间转录组数据集</w:t>
      </w:r>
      <w:r>
        <w:rPr>
          <w:rFonts w:ascii="Times New Roman" w:hAnsi="Times New Roman"/>
          <w:kern w:val="0"/>
          <w:sz w:val="24"/>
          <w:lang w:bidi="ar"/>
        </w:rPr>
        <w:t>进行实验，数据集</w:t>
      </w:r>
      <w:r>
        <w:rPr>
          <w:rFonts w:hint="eastAsia" w:ascii="Times New Roman" w:hAnsi="Times New Roman"/>
          <w:kern w:val="0"/>
          <w:sz w:val="24"/>
          <w:lang w:bidi="ar"/>
        </w:rPr>
        <w:t>的详细信息如</w:t>
      </w:r>
      <w:r>
        <w:rPr>
          <w:rFonts w:ascii="Times New Roman" w:hAnsi="Times New Roman"/>
          <w:kern w:val="0"/>
          <w:sz w:val="24"/>
          <w:lang w:bidi="ar"/>
        </w:rPr>
        <w:t>表3.1</w:t>
      </w:r>
      <w:r>
        <w:rPr>
          <w:rFonts w:hint="eastAsia" w:ascii="Times New Roman" w:hAnsi="Times New Roman"/>
          <w:kern w:val="0"/>
          <w:sz w:val="24"/>
          <w:lang w:bidi="ar"/>
        </w:rPr>
        <w:t>和表3.2</w:t>
      </w:r>
      <w:r>
        <w:rPr>
          <w:rFonts w:ascii="Times New Roman" w:hAnsi="Times New Roman"/>
          <w:kern w:val="0"/>
          <w:sz w:val="24"/>
          <w:lang w:bidi="ar"/>
        </w:rPr>
        <w:t>所示。</w:t>
      </w:r>
    </w:p>
    <w:p w14:paraId="00EF8DC2">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根据模拟空间数据的合成方法，将scRNA-seq数据集合成为伪spot，每个scRNA-seq数据集分别参考空间转录组学数据，最终</w:t>
      </w:r>
      <w:r>
        <w:rPr>
          <w:rFonts w:ascii="Times New Roman" w:hAnsi="Times New Roman"/>
          <w:kern w:val="0"/>
          <w:sz w:val="24"/>
          <w:lang w:bidi="ar"/>
        </w:rPr>
        <w:t>Mouse V1 and Alm SMART-seq</w:t>
      </w:r>
      <w:r>
        <w:rPr>
          <w:rFonts w:hint="eastAsia" w:ascii="Times New Roman" w:hAnsi="Times New Roman"/>
          <w:kern w:val="0"/>
          <w:sz w:val="24"/>
          <w:lang w:bidi="ar"/>
        </w:rPr>
        <w:t>在</w:t>
      </w:r>
      <w:r>
        <w:rPr>
          <w:rFonts w:ascii="Times New Roman" w:hAnsi="Times New Roman"/>
          <w:kern w:val="0"/>
          <w:sz w:val="24"/>
          <w:lang w:bidi="ar"/>
        </w:rPr>
        <w:t>ExSeq</w:t>
      </w:r>
      <w:r>
        <w:rPr>
          <w:rFonts w:hint="eastAsia" w:ascii="Times New Roman" w:hAnsi="Times New Roman"/>
          <w:kern w:val="0"/>
          <w:sz w:val="24"/>
          <w:lang w:bidi="ar"/>
        </w:rPr>
        <w:t>空间转录组学数据的参考下合成1179个spot，在</w:t>
      </w:r>
      <w:r>
        <w:rPr>
          <w:rFonts w:ascii="Times New Roman" w:hAnsi="Times New Roman"/>
          <w:kern w:val="0"/>
          <w:sz w:val="24"/>
          <w:lang w:bidi="ar"/>
        </w:rPr>
        <w:t>seqFISH+</w:t>
      </w:r>
      <w:r>
        <w:rPr>
          <w:rFonts w:hint="eastAsia" w:ascii="Times New Roman" w:hAnsi="Times New Roman"/>
          <w:kern w:val="0"/>
          <w:sz w:val="24"/>
          <w:lang w:bidi="ar"/>
        </w:rPr>
        <w:t>空间转录组学数据的参考下合成953个spot。</w:t>
      </w:r>
      <w:r>
        <w:rPr>
          <w:rFonts w:ascii="Times New Roman" w:hAnsi="Times New Roman"/>
          <w:kern w:val="0"/>
          <w:sz w:val="24"/>
          <w:lang w:bidi="ar"/>
        </w:rPr>
        <w:t xml:space="preserve"> </w:t>
      </w:r>
    </w:p>
    <w:p w14:paraId="14942D13">
      <w:pPr>
        <w:spacing w:line="360" w:lineRule="auto"/>
        <w:jc w:val="center"/>
        <w:rPr>
          <w:rFonts w:ascii="Times New Roman" w:hAnsi="Times New Roman"/>
          <w:kern w:val="0"/>
          <w:szCs w:val="21"/>
          <w:lang w:bidi="ar"/>
        </w:rPr>
      </w:pPr>
      <w:bookmarkStart w:id="27" w:name="OLE_LINK16"/>
      <w:r>
        <w:rPr>
          <w:rFonts w:hint="eastAsia" w:ascii="Times New Roman" w:hAnsi="Times New Roman"/>
          <w:kern w:val="0"/>
          <w:szCs w:val="21"/>
          <w:lang w:bidi="ar"/>
        </w:rPr>
        <w:t>表3.1 scRNA-seq数据集</w:t>
      </w:r>
    </w:p>
    <w:bookmarkEnd w:id="27"/>
    <w:tbl>
      <w:tblPr>
        <w:tblStyle w:val="13"/>
        <w:tblW w:w="3553" w:type="pct"/>
        <w:jc w:val="center"/>
        <w:tblLayout w:type="autofit"/>
        <w:tblCellMar>
          <w:top w:w="0" w:type="dxa"/>
          <w:left w:w="108" w:type="dxa"/>
          <w:bottom w:w="0" w:type="dxa"/>
          <w:right w:w="108" w:type="dxa"/>
        </w:tblCellMar>
      </w:tblPr>
      <w:tblGrid>
        <w:gridCol w:w="1123"/>
        <w:gridCol w:w="2468"/>
        <w:gridCol w:w="2469"/>
      </w:tblGrid>
      <w:tr w14:paraId="17906EFE">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vAlign w:val="center"/>
          </w:tcPr>
          <w:p w14:paraId="3313698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0AC44DBE">
            <w:pPr>
              <w:spacing w:line="360" w:lineRule="auto"/>
              <w:jc w:val="center"/>
              <w:rPr>
                <w:rFonts w:ascii="Times New Roman" w:hAnsi="Times New Roman"/>
                <w:szCs w:val="21"/>
              </w:rPr>
            </w:pPr>
            <w:bookmarkStart w:id="28" w:name="OLE_LINK41"/>
            <w:r>
              <w:rPr>
                <w:rFonts w:ascii="Times New Roman" w:hAnsi="Times New Roman"/>
                <w:szCs w:val="21"/>
              </w:rPr>
              <w:t>Mouse V1 and Alm SMART-seq</w:t>
            </w:r>
            <w:bookmarkEnd w:id="28"/>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27E72281">
            <w:pPr>
              <w:spacing w:line="360" w:lineRule="auto"/>
              <w:jc w:val="center"/>
              <w:rPr>
                <w:rFonts w:ascii="Times New Roman" w:hAnsi="Times New Roman"/>
                <w:szCs w:val="21"/>
              </w:rPr>
            </w:pPr>
            <w:r>
              <w:rPr>
                <w:rFonts w:ascii="Times New Roman" w:hAnsi="Times New Roman"/>
                <w:szCs w:val="21"/>
              </w:rPr>
              <w:t>Mouse V1 and Alm SMART-seq</w:t>
            </w:r>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r>
      <w:tr w14:paraId="1C1239C0">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70723F6">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77FB740C">
            <w:pPr>
              <w:spacing w:line="360" w:lineRule="auto"/>
              <w:jc w:val="center"/>
              <w:rPr>
                <w:rFonts w:ascii="Times New Roman" w:hAnsi="Times New Roman"/>
                <w:szCs w:val="21"/>
              </w:rPr>
            </w:pPr>
            <w:r>
              <w:rPr>
                <w:rFonts w:ascii="Times New Roman" w:hAnsi="Times New Roman"/>
                <w:szCs w:val="21"/>
              </w:rPr>
              <w:t xml:space="preserve">Mouse </w:t>
            </w:r>
            <w:r>
              <w:rPr>
                <w:rFonts w:hint="eastAsia" w:ascii="Times New Roman" w:hAnsi="Times New Roman"/>
                <w:szCs w:val="21"/>
              </w:rPr>
              <w:t>Vi</w:t>
            </w:r>
            <w:r>
              <w:rPr>
                <w:rFonts w:ascii="Times New Roman" w:hAnsi="Times New Roman"/>
                <w:szCs w:val="21"/>
              </w:rPr>
              <w:t>sual cortex</w:t>
            </w:r>
          </w:p>
        </w:tc>
        <w:tc>
          <w:tcPr>
            <w:tcW w:w="2406" w:type="dxa"/>
            <w:tcBorders>
              <w:top w:val="single" w:color="auto" w:sz="2" w:space="0"/>
            </w:tcBorders>
          </w:tcPr>
          <w:p w14:paraId="049FEED8">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V</w:t>
            </w:r>
            <w:r>
              <w:rPr>
                <w:rFonts w:ascii="Times New Roman" w:hAnsi="Times New Roman"/>
                <w:szCs w:val="21"/>
              </w:rPr>
              <w:t>isual cortex</w:t>
            </w:r>
          </w:p>
        </w:tc>
      </w:tr>
      <w:tr w14:paraId="07542B66">
        <w:tblPrEx>
          <w:tblCellMar>
            <w:top w:w="0" w:type="dxa"/>
            <w:left w:w="108" w:type="dxa"/>
            <w:bottom w:w="0" w:type="dxa"/>
            <w:right w:w="108" w:type="dxa"/>
          </w:tblCellMar>
        </w:tblPrEx>
        <w:trPr>
          <w:trHeight w:val="357" w:hRule="atLeast"/>
          <w:jc w:val="center"/>
        </w:trPr>
        <w:tc>
          <w:tcPr>
            <w:tcW w:w="1095" w:type="dxa"/>
          </w:tcPr>
          <w:p w14:paraId="023E4ADA">
            <w:pPr>
              <w:spacing w:line="360" w:lineRule="auto"/>
              <w:jc w:val="center"/>
              <w:rPr>
                <w:rFonts w:ascii="Times New Roman" w:hAnsi="Times New Roman"/>
                <w:szCs w:val="21"/>
              </w:rPr>
            </w:pPr>
            <w:r>
              <w:rPr>
                <w:rFonts w:hint="eastAsia" w:ascii="Times New Roman" w:hAnsi="Times New Roman"/>
                <w:szCs w:val="21"/>
              </w:rPr>
              <w:t>细胞数量</w:t>
            </w:r>
          </w:p>
        </w:tc>
        <w:tc>
          <w:tcPr>
            <w:tcW w:w="2406" w:type="dxa"/>
          </w:tcPr>
          <w:p w14:paraId="2ACA4757">
            <w:pPr>
              <w:spacing w:line="360" w:lineRule="auto"/>
              <w:jc w:val="center"/>
              <w:rPr>
                <w:rFonts w:ascii="Times New Roman" w:hAnsi="Times New Roman"/>
                <w:szCs w:val="21"/>
              </w:rPr>
            </w:pPr>
            <w:r>
              <w:rPr>
                <w:rFonts w:hint="eastAsia" w:ascii="Times New Roman" w:hAnsi="Times New Roman"/>
                <w:szCs w:val="21"/>
              </w:rPr>
              <w:t>14249</w:t>
            </w:r>
          </w:p>
        </w:tc>
        <w:tc>
          <w:tcPr>
            <w:tcW w:w="2406" w:type="dxa"/>
          </w:tcPr>
          <w:p w14:paraId="2D1FACA6">
            <w:pPr>
              <w:spacing w:line="360" w:lineRule="auto"/>
              <w:jc w:val="center"/>
              <w:rPr>
                <w:rFonts w:ascii="Times New Roman" w:hAnsi="Times New Roman"/>
                <w:szCs w:val="21"/>
              </w:rPr>
            </w:pPr>
            <w:r>
              <w:rPr>
                <w:rFonts w:hint="eastAsia" w:ascii="Times New Roman" w:hAnsi="Times New Roman"/>
                <w:szCs w:val="21"/>
              </w:rPr>
              <w:t>14249</w:t>
            </w:r>
          </w:p>
        </w:tc>
      </w:tr>
      <w:tr w14:paraId="42118035">
        <w:tblPrEx>
          <w:tblCellMar>
            <w:top w:w="0" w:type="dxa"/>
            <w:left w:w="108" w:type="dxa"/>
            <w:bottom w:w="0" w:type="dxa"/>
            <w:right w:w="108" w:type="dxa"/>
          </w:tblCellMar>
        </w:tblPrEx>
        <w:trPr>
          <w:trHeight w:val="357" w:hRule="atLeast"/>
          <w:jc w:val="center"/>
        </w:trPr>
        <w:tc>
          <w:tcPr>
            <w:tcW w:w="1095" w:type="dxa"/>
          </w:tcPr>
          <w:p w14:paraId="1DCD823C">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009EFD7">
            <w:pPr>
              <w:spacing w:line="360" w:lineRule="auto"/>
              <w:jc w:val="center"/>
              <w:rPr>
                <w:rFonts w:ascii="Times New Roman" w:hAnsi="Times New Roman"/>
                <w:szCs w:val="21"/>
              </w:rPr>
            </w:pPr>
            <w:r>
              <w:rPr>
                <w:rFonts w:hint="eastAsia" w:ascii="Times New Roman" w:hAnsi="Times New Roman"/>
                <w:szCs w:val="21"/>
              </w:rPr>
              <w:t>34041</w:t>
            </w:r>
          </w:p>
        </w:tc>
        <w:tc>
          <w:tcPr>
            <w:tcW w:w="2406" w:type="dxa"/>
          </w:tcPr>
          <w:p w14:paraId="48430636">
            <w:pPr>
              <w:spacing w:line="360" w:lineRule="auto"/>
              <w:jc w:val="center"/>
              <w:rPr>
                <w:rFonts w:ascii="Times New Roman" w:hAnsi="Times New Roman"/>
                <w:szCs w:val="21"/>
              </w:rPr>
            </w:pPr>
            <w:r>
              <w:rPr>
                <w:rFonts w:hint="eastAsia" w:ascii="Times New Roman" w:hAnsi="Times New Roman"/>
                <w:szCs w:val="21"/>
              </w:rPr>
              <w:t>34041</w:t>
            </w:r>
          </w:p>
        </w:tc>
      </w:tr>
      <w:tr w14:paraId="0D942234">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1584D45">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43992BC7">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6" w:space="0"/>
            </w:tcBorders>
          </w:tcPr>
          <w:p w14:paraId="663157B8">
            <w:pPr>
              <w:spacing w:line="360" w:lineRule="auto"/>
              <w:jc w:val="center"/>
              <w:rPr>
                <w:rFonts w:ascii="Times New Roman" w:hAnsi="Times New Roman"/>
                <w:szCs w:val="21"/>
              </w:rPr>
            </w:pPr>
            <w:r>
              <w:rPr>
                <w:rFonts w:hint="eastAsia" w:ascii="Times New Roman" w:hAnsi="Times New Roman"/>
                <w:szCs w:val="21"/>
              </w:rPr>
              <w:t>15</w:t>
            </w:r>
          </w:p>
        </w:tc>
      </w:tr>
      <w:tr w14:paraId="585FA6BB">
        <w:tblPrEx>
          <w:tblCellMar>
            <w:top w:w="0" w:type="dxa"/>
            <w:left w:w="108" w:type="dxa"/>
            <w:bottom w:w="0" w:type="dxa"/>
            <w:right w:w="108" w:type="dxa"/>
          </w:tblCellMar>
        </w:tblPrEx>
        <w:trPr>
          <w:trHeight w:val="357" w:hRule="atLeast"/>
          <w:jc w:val="center"/>
        </w:trPr>
        <w:tc>
          <w:tcPr>
            <w:tcW w:w="5907" w:type="dxa"/>
            <w:gridSpan w:val="3"/>
            <w:tcBorders>
              <w:top w:val="single" w:color="auto" w:sz="6" w:space="0"/>
              <w:bottom w:val="single" w:color="auto" w:sz="4" w:space="0"/>
            </w:tcBorders>
          </w:tcPr>
          <w:p w14:paraId="58413373">
            <w:pPr>
              <w:spacing w:line="360" w:lineRule="auto"/>
              <w:jc w:val="center"/>
              <w:rPr>
                <w:rFonts w:ascii="Times New Roman" w:hAnsi="Times New Roman"/>
                <w:szCs w:val="21"/>
              </w:rPr>
            </w:pPr>
            <w:r>
              <w:rPr>
                <w:rFonts w:hint="eastAsia" w:ascii="Times New Roman" w:hAnsi="Times New Roman"/>
                <w:szCs w:val="21"/>
              </w:rPr>
              <w:t>表3.2 空间转录组学数据集</w:t>
            </w:r>
          </w:p>
        </w:tc>
      </w:tr>
      <w:tr w14:paraId="27036763">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tcPr>
          <w:p w14:paraId="305FD8A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68078430">
            <w:pPr>
              <w:spacing w:line="360" w:lineRule="auto"/>
              <w:jc w:val="center"/>
              <w:rPr>
                <w:rFonts w:ascii="Times New Roman" w:hAnsi="Times New Roman"/>
                <w:szCs w:val="21"/>
              </w:rPr>
            </w:pPr>
            <w:bookmarkStart w:id="29" w:name="OLE_LINK45"/>
            <w:r>
              <w:rPr>
                <w:rFonts w:ascii="Times New Roman" w:hAnsi="Times New Roman"/>
                <w:szCs w:val="21"/>
              </w:rPr>
              <w:t>ExSeq</w:t>
            </w:r>
            <w:bookmarkEnd w:id="29"/>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_Ref202191788 \r \h  \* MERGEFORMAT </w:instrText>
            </w:r>
            <w:r>
              <w:rPr>
                <w:rFonts w:ascii="Times New Roman" w:hAnsi="Times New Roman"/>
                <w:szCs w:val="21"/>
                <w:vertAlign w:val="superscript"/>
              </w:rPr>
              <w:fldChar w:fldCharType="separate"/>
            </w:r>
            <w:r>
              <w:rPr>
                <w:rFonts w:ascii="Times New Roman" w:hAnsi="Times New Roman"/>
                <w:szCs w:val="21"/>
                <w:vertAlign w:val="superscript"/>
              </w:rPr>
              <w:t>[45]</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03672502">
            <w:pPr>
              <w:spacing w:line="360" w:lineRule="auto"/>
              <w:jc w:val="center"/>
              <w:rPr>
                <w:rFonts w:ascii="Times New Roman" w:hAnsi="Times New Roman"/>
                <w:szCs w:val="21"/>
              </w:rPr>
            </w:pPr>
            <w:bookmarkStart w:id="30" w:name="OLE_LINK47"/>
            <w:r>
              <w:rPr>
                <w:rFonts w:hint="eastAsia" w:ascii="Times New Roman" w:hAnsi="Times New Roman"/>
                <w:szCs w:val="21"/>
              </w:rPr>
              <w:t>seqFISH+</w:t>
            </w:r>
            <w:bookmarkEnd w:id="30"/>
            <w:r>
              <w:rPr>
                <w:rFonts w:ascii="Times New Roman" w:hAnsi="Times New Roman"/>
                <w:szCs w:val="21"/>
                <w:vertAlign w:val="superscript"/>
              </w:rPr>
              <w:fldChar w:fldCharType="begin"/>
            </w:r>
            <w:r>
              <w:rPr>
                <w:rFonts w:ascii="Times New Roman" w:hAnsi="Times New Roman"/>
                <w:szCs w:val="21"/>
                <w:vertAlign w:val="superscript"/>
              </w:rPr>
              <w:instrText xml:space="preserve"> </w:instrText>
            </w:r>
            <w:r>
              <w:rPr>
                <w:rFonts w:hint="eastAsia" w:ascii="Times New Roman" w:hAnsi="Times New Roman"/>
                <w:szCs w:val="21"/>
                <w:vertAlign w:val="superscript"/>
              </w:rPr>
              <w:instrText xml:space="preserve">REF _Ref202191914 \r \h</w:instrText>
            </w:r>
            <w:r>
              <w:rPr>
                <w:rFonts w:ascii="Times New Roman" w:hAnsi="Times New Roman"/>
                <w:szCs w:val="21"/>
                <w:vertAlign w:val="superscript"/>
              </w:rPr>
              <w:instrText xml:space="preserve">  \* MERGEFORMAT </w:instrText>
            </w:r>
            <w:r>
              <w:rPr>
                <w:rFonts w:ascii="Times New Roman" w:hAnsi="Times New Roman"/>
                <w:szCs w:val="21"/>
                <w:vertAlign w:val="superscript"/>
              </w:rPr>
              <w:fldChar w:fldCharType="separate"/>
            </w:r>
            <w:r>
              <w:rPr>
                <w:rFonts w:ascii="Times New Roman" w:hAnsi="Times New Roman"/>
                <w:szCs w:val="21"/>
                <w:vertAlign w:val="superscript"/>
              </w:rPr>
              <w:t>[46]</w:t>
            </w:r>
            <w:r>
              <w:rPr>
                <w:rFonts w:ascii="Times New Roman" w:hAnsi="Times New Roman"/>
                <w:szCs w:val="21"/>
                <w:vertAlign w:val="superscript"/>
              </w:rPr>
              <w:fldChar w:fldCharType="end"/>
            </w:r>
          </w:p>
        </w:tc>
      </w:tr>
      <w:tr w14:paraId="18E170D1">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8A21A81">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0DDFA307">
            <w:pPr>
              <w:spacing w:line="360" w:lineRule="auto"/>
              <w:jc w:val="center"/>
              <w:rPr>
                <w:rFonts w:ascii="Times New Roman" w:hAnsi="Times New Roman"/>
                <w:szCs w:val="21"/>
              </w:rPr>
            </w:pPr>
            <w:r>
              <w:rPr>
                <w:rFonts w:ascii="Times New Roman" w:hAnsi="Times New Roman"/>
                <w:szCs w:val="21"/>
              </w:rPr>
              <w:t>Mouse Primary visual cortex (VISp)</w:t>
            </w:r>
          </w:p>
        </w:tc>
        <w:tc>
          <w:tcPr>
            <w:tcW w:w="2406" w:type="dxa"/>
            <w:tcBorders>
              <w:top w:val="single" w:color="auto" w:sz="2" w:space="0"/>
            </w:tcBorders>
          </w:tcPr>
          <w:p w14:paraId="577E070D">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C</w:t>
            </w:r>
            <w:r>
              <w:rPr>
                <w:rFonts w:ascii="Times New Roman" w:hAnsi="Times New Roman"/>
                <w:szCs w:val="21"/>
              </w:rPr>
              <w:t xml:space="preserve">ortex </w:t>
            </w:r>
          </w:p>
        </w:tc>
      </w:tr>
      <w:tr w14:paraId="0E433E9D">
        <w:tblPrEx>
          <w:tblCellMar>
            <w:top w:w="0" w:type="dxa"/>
            <w:left w:w="108" w:type="dxa"/>
            <w:bottom w:w="0" w:type="dxa"/>
            <w:right w:w="108" w:type="dxa"/>
          </w:tblCellMar>
        </w:tblPrEx>
        <w:trPr>
          <w:trHeight w:val="357" w:hRule="atLeast"/>
          <w:jc w:val="center"/>
        </w:trPr>
        <w:tc>
          <w:tcPr>
            <w:tcW w:w="1095" w:type="dxa"/>
          </w:tcPr>
          <w:p w14:paraId="1BB1B567">
            <w:pPr>
              <w:spacing w:line="360" w:lineRule="auto"/>
              <w:jc w:val="center"/>
              <w:rPr>
                <w:rFonts w:ascii="Times New Roman" w:hAnsi="Times New Roman"/>
                <w:szCs w:val="21"/>
              </w:rPr>
            </w:pPr>
            <w:r>
              <w:rPr>
                <w:rFonts w:hint="eastAsia" w:ascii="Times New Roman" w:hAnsi="Times New Roman"/>
                <w:szCs w:val="21"/>
              </w:rPr>
              <w:t>spot数量</w:t>
            </w:r>
          </w:p>
        </w:tc>
        <w:tc>
          <w:tcPr>
            <w:tcW w:w="2406" w:type="dxa"/>
          </w:tcPr>
          <w:p w14:paraId="0B890218">
            <w:pPr>
              <w:spacing w:line="360" w:lineRule="auto"/>
              <w:jc w:val="center"/>
              <w:rPr>
                <w:rFonts w:ascii="Times New Roman" w:hAnsi="Times New Roman"/>
                <w:szCs w:val="21"/>
              </w:rPr>
            </w:pPr>
            <w:r>
              <w:rPr>
                <w:rFonts w:ascii="Times New Roman" w:hAnsi="Times New Roman"/>
                <w:szCs w:val="21"/>
              </w:rPr>
              <w:t>1154</w:t>
            </w:r>
          </w:p>
        </w:tc>
        <w:tc>
          <w:tcPr>
            <w:tcW w:w="2406" w:type="dxa"/>
          </w:tcPr>
          <w:p w14:paraId="222205BF">
            <w:pPr>
              <w:spacing w:line="360" w:lineRule="auto"/>
              <w:jc w:val="center"/>
              <w:rPr>
                <w:rFonts w:ascii="Times New Roman" w:hAnsi="Times New Roman"/>
                <w:szCs w:val="21"/>
              </w:rPr>
            </w:pPr>
            <w:r>
              <w:rPr>
                <w:rFonts w:hint="eastAsia" w:ascii="Times New Roman" w:hAnsi="Times New Roman"/>
                <w:szCs w:val="21"/>
              </w:rPr>
              <w:t>523</w:t>
            </w:r>
          </w:p>
        </w:tc>
      </w:tr>
      <w:tr w14:paraId="28FED7EF">
        <w:tblPrEx>
          <w:tblCellMar>
            <w:top w:w="0" w:type="dxa"/>
            <w:left w:w="108" w:type="dxa"/>
            <w:bottom w:w="0" w:type="dxa"/>
            <w:right w:w="108" w:type="dxa"/>
          </w:tblCellMar>
        </w:tblPrEx>
        <w:trPr>
          <w:trHeight w:val="357" w:hRule="atLeast"/>
          <w:jc w:val="center"/>
        </w:trPr>
        <w:tc>
          <w:tcPr>
            <w:tcW w:w="1095" w:type="dxa"/>
          </w:tcPr>
          <w:p w14:paraId="44C5D8CA">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51A895B">
            <w:pPr>
              <w:spacing w:line="360" w:lineRule="auto"/>
              <w:jc w:val="center"/>
              <w:rPr>
                <w:rFonts w:ascii="Times New Roman" w:hAnsi="Times New Roman"/>
                <w:szCs w:val="21"/>
              </w:rPr>
            </w:pPr>
            <w:r>
              <w:rPr>
                <w:rFonts w:hint="eastAsia" w:ascii="Times New Roman" w:hAnsi="Times New Roman"/>
                <w:szCs w:val="21"/>
              </w:rPr>
              <w:t>42</w:t>
            </w:r>
          </w:p>
        </w:tc>
        <w:tc>
          <w:tcPr>
            <w:tcW w:w="2406" w:type="dxa"/>
          </w:tcPr>
          <w:p w14:paraId="16146F4F">
            <w:pPr>
              <w:spacing w:line="360" w:lineRule="auto"/>
              <w:jc w:val="center"/>
              <w:rPr>
                <w:rFonts w:ascii="Times New Roman" w:hAnsi="Times New Roman"/>
                <w:szCs w:val="21"/>
              </w:rPr>
            </w:pPr>
            <w:r>
              <w:rPr>
                <w:rFonts w:hint="eastAsia" w:ascii="Times New Roman" w:hAnsi="Times New Roman"/>
                <w:szCs w:val="21"/>
              </w:rPr>
              <w:t>10000</w:t>
            </w:r>
          </w:p>
        </w:tc>
      </w:tr>
      <w:tr w14:paraId="478917C2">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3AEA212">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6D8C79DB">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8" w:space="0"/>
            </w:tcBorders>
          </w:tcPr>
          <w:p w14:paraId="412BC749">
            <w:pPr>
              <w:spacing w:line="360" w:lineRule="auto"/>
              <w:jc w:val="center"/>
              <w:rPr>
                <w:rFonts w:ascii="Times New Roman" w:hAnsi="Times New Roman"/>
                <w:szCs w:val="21"/>
              </w:rPr>
            </w:pPr>
            <w:r>
              <w:rPr>
                <w:rFonts w:hint="eastAsia" w:ascii="Times New Roman" w:hAnsi="Times New Roman"/>
                <w:szCs w:val="21"/>
              </w:rPr>
              <w:t>15</w:t>
            </w:r>
          </w:p>
        </w:tc>
      </w:tr>
    </w:tbl>
    <w:p w14:paraId="6E8FAFD3">
      <w:pPr>
        <w:pStyle w:val="4"/>
        <w:spacing w:before="120" w:after="120" w:line="300" w:lineRule="auto"/>
        <w:jc w:val="left"/>
        <w:rPr>
          <w:rFonts w:hint="eastAsia" w:ascii="宋体" w:hAnsi="宋体" w:eastAsia="宋体" w:cs="宋体"/>
          <w:b w:val="0"/>
          <w:bCs w:val="0"/>
          <w:sz w:val="24"/>
          <w:szCs w:val="24"/>
          <w:lang w:bidi="ar"/>
        </w:rPr>
      </w:pPr>
      <w:bookmarkStart w:id="31" w:name="OLE_LINK44"/>
      <w:r>
        <w:rPr>
          <w:rFonts w:ascii="宋体" w:hAnsi="宋体" w:eastAsia="宋体" w:cs="宋体"/>
          <w:b w:val="0"/>
          <w:bCs w:val="0"/>
          <w:sz w:val="24"/>
          <w:szCs w:val="24"/>
          <w:lang w:bidi="ar"/>
        </w:rPr>
        <w:t>3.2.1.2实验设置</w:t>
      </w:r>
    </w:p>
    <w:bookmarkEnd w:id="31"/>
    <w:p w14:paraId="19592725">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在构图时将k、p和q都设置为20，图对比任务时使用学习率为1e-3的Adam优化器，Dropout概率设为0.3，温度系数为0.1，最大迭代轮数为600</w:t>
      </w:r>
      <w:r>
        <w:rPr>
          <w:rFonts w:ascii="Times New Roman" w:hAnsi="Times New Roman"/>
          <w:sz w:val="24"/>
        </w:rPr>
        <w:t>，</w:t>
      </w:r>
      <w:r>
        <w:rPr>
          <w:rFonts w:hint="eastAsia" w:ascii="Times New Roman" w:hAnsi="Times New Roman"/>
          <w:sz w:val="24"/>
        </w:rPr>
        <w:t>在550轮后权重衰减为5e-5，用于L2正则化，防止过拟合，损失函数权重设置</w:t>
      </w:r>
      <m:oMath>
        <m:r>
          <m:rPr/>
          <w:rPr>
            <w:rFonts w:ascii="Cambria Math" w:hAnsi="Cambria Math"/>
            <w:sz w:val="24"/>
          </w:rPr>
          <m:t>α</m:t>
        </m:r>
      </m:oMath>
      <w:r>
        <w:rPr>
          <w:rFonts w:hint="eastAsia" w:ascii="Times New Roman" w:hAnsi="Times New Roman"/>
          <w:sz w:val="24"/>
        </w:rPr>
        <w:t>为0.1，</w:t>
      </w:r>
      <m:oMath>
        <m:r>
          <m:rPr/>
          <w:rPr>
            <w:rFonts w:ascii="Cambria Math" w:hAnsi="Cambria Math"/>
            <w:sz w:val="24"/>
          </w:rPr>
          <m:t>β</m:t>
        </m:r>
      </m:oMath>
      <w:r>
        <w:rPr>
          <w:rFonts w:hint="eastAsia" w:ascii="Times New Roman" w:hAnsi="Times New Roman"/>
          <w:sz w:val="24"/>
        </w:rPr>
        <w:t>为2.0，当验证损失连续80轮无改善时停止训练。</w:t>
      </w:r>
    </w:p>
    <w:p w14:paraId="0C3F62BA">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3评价指标</w:t>
      </w:r>
    </w:p>
    <w:p w14:paraId="76BB3A75">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为了评估GCIRS的性能，使用了以下五个指标</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_Ref202173701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[37]</w:t>
      </w:r>
      <w:r>
        <w:rPr>
          <w:rFonts w:ascii="Times New Roman" w:hAnsi="Times New Roman"/>
          <w:sz w:val="24"/>
          <w:vertAlign w:val="superscript"/>
        </w:rPr>
        <w:fldChar w:fldCharType="end"/>
      </w:r>
      <w:r>
        <w:rPr>
          <w:rFonts w:hint="eastAsia" w:ascii="Times New Roman" w:hAnsi="Times New Roman"/>
          <w:sz w:val="24"/>
        </w:rPr>
        <w:t>来评估每种方法。</w:t>
      </w:r>
    </w:p>
    <w:p w14:paraId="07BE7FE3">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（1）PCC。PCC值使用以下公式计算：</w:t>
      </w:r>
    </w:p>
    <w:p w14:paraId="323CD1CD">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PCC</m:t>
              </m:r>
              <m:r>
                <m:rPr>
                  <m:sty m:val="p"/>
                </m:rPr>
                <w:rPr>
                  <w:rFonts w:ascii="Cambria Math" w:hAnsi="Cambria Math"/>
                  <w:sz w:val="24"/>
                </w:rPr>
                <m:t>=</m:t>
              </m:r>
              <m:f>
                <m:fPr>
                  <m:ctrlPr>
                    <w:rPr>
                      <w:rFonts w:ascii="Cambria Math" w:hAnsi="Cambria Math"/>
                      <w:sz w:val="24"/>
                    </w:rPr>
                  </m:ctrlPr>
                </m:fPr>
                <m:num>
                  <m:r>
                    <m:rPr/>
                    <w:rPr>
                      <w:rFonts w:ascii="Cambria Math" w:hAnsi="Cambria Math"/>
                      <w:sz w:val="24"/>
                    </w:rPr>
                    <m:t>E</m:t>
                  </m:r>
                  <m:d>
                    <m:dPr>
                      <m:begChr m:val="["/>
                      <m:endChr m:val="]"/>
                      <m:ctrlPr>
                        <w:rPr>
                          <w:rFonts w:ascii="Cambria Math" w:hAnsi="Cambria Math"/>
                          <w:sz w:val="24"/>
                        </w:rPr>
                      </m:ctrlPr>
                    </m:dPr>
                    <m:e>
                      <m:d>
                        <m:dPr>
                          <m:ctrlPr>
                            <w:rPr>
                              <w:rFonts w:ascii="Cambria Math" w:hAnsi="Cambria Math"/>
                              <w:sz w:val="24"/>
                            </w:rPr>
                          </m:ctrlPr>
                        </m:dPr>
                        <m:e>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x</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u</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d>
                        <m:dPr>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num>
                <m:den>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σ</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3.17</m:t>
                  </m:r>
                  <m:ctrlPr>
                    <w:rPr>
                      <w:rFonts w:ascii="Cambria Math" w:hAnsi="Cambria Math"/>
                      <w:sz w:val="24"/>
                    </w:rPr>
                  </m:ctrlPr>
                </m:e>
              </m:d>
              <m:ctrlPr>
                <w:rPr>
                  <w:rFonts w:ascii="Cambria Math" w:hAnsi="Cambria Math"/>
                  <w:sz w:val="24"/>
                </w:rPr>
              </m:ctrlPr>
            </m:e>
          </m:eqArr>
        </m:oMath>
      </m:oMathPara>
    </w:p>
    <w:p w14:paraId="62497100">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sz w:val="24"/>
              </w:rPr>
            </m:ctrlPr>
          </m:sSubPr>
          <m:e>
            <m:r>
              <m:rPr/>
              <w:rPr>
                <w:rFonts w:hint="eastAsia"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m:sty m:val="bi"/>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在真实情况和预测结果中的空间表达向量</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在真实情况和预测结果中的平均表达</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在真实情况和预测结果中的空间表达的标准差。对于一个基因来说，PCC 值越高，表示预测的准确性越好。</w:t>
      </w:r>
    </w:p>
    <w:p w14:paraId="3680EA7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（2）SSIM。首先按照以下方式对表达矩阵进行了标准化处理，以使每个基因的表达值介于0和1之间：</w:t>
      </w:r>
    </w:p>
    <w:p w14:paraId="0AAE9193">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func>
                    <m:funcPr>
                      <m:ctrlPr>
                        <w:rPr>
                          <w:rFonts w:ascii="Cambria Math" w:hAnsi="Cambria Math"/>
                          <w:sz w:val="24"/>
                        </w:rPr>
                      </m:ctrlPr>
                    </m:funcPr>
                    <m:fName>
                      <m:r>
                        <m:rPr>
                          <m:sty m:val="p"/>
                        </m:rPr>
                        <w:rPr>
                          <w:rFonts w:ascii="Cambria Math" w:hAnsi="Cambria Math"/>
                          <w:sz w:val="24"/>
                        </w:rPr>
                        <m:t>max</m:t>
                      </m:r>
                      <m:ctrlPr>
                        <w:rPr>
                          <w:rFonts w:ascii="Cambria Math" w:hAnsi="Cambria Math"/>
                          <w:sz w:val="24"/>
                        </w:rPr>
                      </m:ctrlPr>
                    </m:fName>
                    <m:e>
                      <m:d>
                        <m:dPr>
                          <m:ctrlPr>
                            <w:rPr>
                              <w:rFonts w:ascii="Cambria Math" w:hAnsi="Cambria Math"/>
                              <w:sz w:val="24"/>
                            </w:rPr>
                          </m:ctrlPr>
                        </m:d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e>
                  </m:func>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3.18</m:t>
                  </m:r>
                  <m:ctrlPr>
                    <w:rPr>
                      <w:rFonts w:ascii="Cambria Math" w:hAnsi="Cambria Math"/>
                      <w:sz w:val="24"/>
                    </w:rPr>
                  </m:ctrlPr>
                </m:e>
              </m:d>
              <m:ctrlPr>
                <w:rPr>
                  <w:rFonts w:ascii="Cambria Math" w:hAnsi="Cambria Math"/>
                  <w:sz w:val="24"/>
                </w:rPr>
              </m:ctrlPr>
            </m:e>
          </m:eqArr>
        </m:oMath>
      </m:oMathPara>
    </w:p>
    <w:p w14:paraId="6613616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i/>
                <w:iCs/>
                <w:sz w:val="24"/>
              </w:rPr>
            </m:ctrlPr>
          </m:sSubPr>
          <m:e>
            <m:r>
              <m:rPr/>
              <w:rPr>
                <w:rFonts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表示基因</w:t>
      </w:r>
      <m:oMath>
        <m:r>
          <m:rPr>
            <m:sty m:val="p"/>
          </m:rPr>
          <w:rPr>
            <w:rFonts w:ascii="Cambria Math" w:hAnsi="Cambria Math"/>
            <w:sz w:val="24"/>
          </w:rPr>
          <m:t>i</m:t>
        </m:r>
      </m:oMath>
      <w:r>
        <w:rPr>
          <w:rFonts w:ascii="Times New Roman" w:hAnsi="Times New Roman"/>
          <w:sz w:val="24"/>
        </w:rPr>
        <w:t>在点</w:t>
      </w:r>
      <m:oMath>
        <m:r>
          <m:rPr>
            <m:sty m:val="p"/>
          </m:rPr>
          <w:rPr>
            <w:rFonts w:ascii="Cambria Math" w:hAnsi="Cambria Math"/>
            <w:sz w:val="24"/>
          </w:rPr>
          <m:t>j</m:t>
        </m:r>
      </m:oMath>
      <w:r>
        <w:rPr>
          <w:rFonts w:ascii="Times New Roman" w:hAnsi="Times New Roman"/>
          <w:sz w:val="24"/>
        </w:rPr>
        <w:t>的表达量</w:t>
      </w:r>
      <w:r>
        <w:rPr>
          <w:rFonts w:hint="eastAsia" w:ascii="Times New Roman" w:hAnsi="Times New Roman"/>
          <w:sz w:val="24"/>
        </w:rPr>
        <w:t>,</w:t>
      </w:r>
      <w:r>
        <w:rPr>
          <w:rFonts w:ascii="Times New Roman" w:hAnsi="Times New Roman"/>
          <w:sz w:val="24"/>
        </w:rPr>
        <w:t xml:space="preserve"> </w:t>
      </w:r>
      <m:oMath>
        <m:r>
          <m:rPr>
            <m:nor/>
          </m:rPr>
          <w:rPr>
            <w:rFonts w:ascii="Times New Roman" w:hAnsi="Times New Roman"/>
            <w:i/>
            <w:iCs/>
            <w:sz w:val="24"/>
          </w:rPr>
          <m:t>M</m:t>
        </m:r>
      </m:oMath>
      <w:r>
        <w:rPr>
          <w:rFonts w:ascii="Times New Roman" w:hAnsi="Times New Roman"/>
          <w:sz w:val="24"/>
        </w:rPr>
        <w:t>是点的总数。</w:t>
      </w:r>
    </w:p>
    <w:p w14:paraId="108DBF8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然后，使用了标准化后的基因表达量和以下公式来计算每个基因的SSIM值：</w:t>
      </w:r>
    </w:p>
    <w:p w14:paraId="28F9A6F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SSIM</m:t>
              </m:r>
              <m:r>
                <m:rPr>
                  <m:sty m:val="p"/>
                </m:rPr>
                <w:rPr>
                  <w:rFonts w:ascii="Cambria Math" w:hAnsi="Cambria Math"/>
                  <w:sz w:val="24"/>
                </w:rPr>
                <m:t>=</m:t>
              </m:r>
              <m:f>
                <m:fPr>
                  <m:ctrlPr>
                    <w:rPr>
                      <w:rFonts w:ascii="Cambria Math" w:hAnsi="Cambria Math"/>
                      <w:sz w:val="24"/>
                    </w:rPr>
                  </m:ctrlPr>
                </m:fPr>
                <m:num>
                  <m:d>
                    <m:dPr>
                      <m:ctrlPr>
                        <w:rPr>
                          <w:rFonts w:ascii="Cambria Math" w:hAnsi="Cambria Math"/>
                          <w:sz w:val="24"/>
                        </w:rPr>
                      </m:ctrlPr>
                    </m:dPr>
                    <m:e>
                      <m:r>
                        <m:rPr>
                          <m:sty m:val="p"/>
                        </m:rPr>
                        <w:rPr>
                          <w:rFonts w:ascii="Cambria Math" w:hAnsi="Cambria Math"/>
                          <w:sz w:val="24"/>
                        </w:rPr>
                        <m:t>2</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r>
                        <m:rPr>
                          <m:sty m:val="p"/>
                        </m:rPr>
                        <w:rPr>
                          <w:rFonts w:ascii="Cambria Math" w:hAnsi="Cambria Math"/>
                          <w:sz w:val="24"/>
                        </w:rPr>
                        <m:t>2</m:t>
                      </m:r>
                      <m:r>
                        <m:rPr/>
                        <w:rPr>
                          <w:rFonts w:ascii="Cambria Math" w:hAnsi="Cambria Math"/>
                          <w:sz w:val="24"/>
                        </w:rPr>
                        <m:t>coν</m:t>
                      </m:r>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num>
                <m:den>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3.19</m:t>
                  </m:r>
                  <m:ctrlPr>
                    <w:rPr>
                      <w:rFonts w:ascii="Cambria Math" w:hAnsi="Cambria Math"/>
                      <w:sz w:val="24"/>
                    </w:rPr>
                  </m:ctrlPr>
                </m:e>
              </m:d>
              <m:ctrlPr>
                <w:rPr>
                  <w:rFonts w:ascii="Cambria Math" w:hAnsi="Cambria Math"/>
                  <w:sz w:val="24"/>
                </w:rPr>
              </m:ctrlPr>
            </m:e>
          </m:eqArr>
        </m:oMath>
      </m:oMathPara>
    </w:p>
    <w:p w14:paraId="0C86198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i/>
                <w:sz w:val="24"/>
              </w:rPr>
            </m:ctrlPr>
          </m:sSubPr>
          <m:e>
            <m:r>
              <m:rPr/>
              <w:rPr>
                <w:rFonts w:ascii="Cambria Math" w:hAnsi="Cambria Math"/>
                <w:sz w:val="24"/>
              </w:rPr>
              <m:t>u</m:t>
            </m:r>
            <m:ctrlPr>
              <w:rPr>
                <w:rFonts w:ascii="Cambria Math" w:hAnsi="Cambria Math"/>
                <w:i/>
                <w:sz w:val="24"/>
              </w:rPr>
            </m:ctrlPr>
          </m:e>
          <m:sub>
            <m:r>
              <m:rPr/>
              <w:rPr>
                <w:rFonts w:ascii="Cambria Math" w:hAnsi="Cambria Math"/>
                <w:sz w:val="24"/>
              </w:rPr>
              <m:t>i</m:t>
            </m:r>
            <m:ctrlPr>
              <w:rPr>
                <w:rFonts w:ascii="Cambria Math" w:hAnsi="Cambria Math"/>
                <w:i/>
                <w:sz w:val="24"/>
              </w:rPr>
            </m:ctrlPr>
          </m:sub>
        </m:sSub>
      </m:oMath>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的定义与计算PCC值时相同（但针对的是标准化后的基因表达量）；</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Sub>
      </m:oMath>
      <w:r>
        <w:rPr>
          <w:rFonts w:ascii="Times New Roman" w:hAnsi="Times New Roman"/>
          <w:sz w:val="24"/>
        </w:rPr>
        <w:t>分别为0.01和0.03；而</w:t>
      </w:r>
      <m:oMath>
        <m:r>
          <m:rPr/>
          <w:rPr>
            <w:rFonts w:ascii="Cambria Math" w:hAnsi="Cambria Math"/>
            <w:sz w:val="24"/>
          </w:rPr>
          <m:t>cov</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ascii="Times New Roman" w:hAnsi="Times New Roman"/>
          <w:sz w:val="24"/>
        </w:rPr>
        <w:t>是基因</w:t>
      </w:r>
      <m:oMath>
        <m:r>
          <m:rPr>
            <m:sty m:val="bi"/>
          </m:rPr>
          <w:rPr>
            <w:rFonts w:ascii="Cambria Math" w:hAnsi="Cambria Math"/>
            <w:sz w:val="24"/>
          </w:rPr>
          <m:t>i</m:t>
        </m:r>
      </m:oMath>
      <w:r>
        <w:rPr>
          <w:rFonts w:ascii="Times New Roman" w:hAnsi="Times New Roman"/>
          <w:sz w:val="24"/>
        </w:rPr>
        <w:t>在真实情况（即</w:t>
      </w:r>
      <m:oMath>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​）和预测结果（即</w:t>
      </w:r>
      <m:oMath>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​）的表达向量之间的协方差。对于一个基因来说，SSIM值越高，表示预测的准确性越好。</w:t>
      </w:r>
    </w:p>
    <w:p w14:paraId="0F8F4AA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（3）COSSIM。COSSIM的值用以下公式计算：</w:t>
      </w:r>
    </w:p>
    <w:p w14:paraId="072FE25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COSSIM</m:t>
              </m:r>
              <m:r>
                <m:rPr>
                  <m:sty m:val="p"/>
                </m:rPr>
                <w:rPr>
                  <w:rFonts w:ascii="Cambria Math" w:hAnsi="Cambria Math"/>
                  <w:sz w:val="24"/>
                </w:rPr>
                <m:t>=</m:t>
              </m:r>
              <m:f>
                <m:fPr>
                  <m:ctrlPr>
                    <w:rPr>
                      <w:rFonts w:ascii="Cambria Math" w:hAnsi="Cambria Math"/>
                      <w:sz w:val="24"/>
                    </w:rPr>
                  </m:ctrlPr>
                </m:fPr>
                <m:num>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3.20</m:t>
                  </m:r>
                  <m:ctrlPr>
                    <w:rPr>
                      <w:rFonts w:ascii="Cambria Math" w:hAnsi="Cambria Math"/>
                      <w:sz w:val="24"/>
                    </w:rPr>
                  </m:ctrlPr>
                </m:e>
              </m:d>
              <m:ctrlPr>
                <w:rPr>
                  <w:rFonts w:ascii="Cambria Math" w:hAnsi="Cambria Math"/>
                  <w:sz w:val="24"/>
                </w:rPr>
              </m:ctrlPr>
            </m:e>
          </m:eqArr>
        </m:oMath>
      </m:oMathPara>
    </w:p>
    <w:p w14:paraId="530B6FEF">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r>
          <m:rPr>
            <m:sty m:val="p"/>
          </m:rPr>
          <w:rPr>
            <w:rFonts w:ascii="Cambria Math" w:hAnsi="Cambria Math"/>
            <w:sz w:val="24"/>
          </w:rPr>
          <m:t>‖</m:t>
        </m:r>
        <m:r>
          <m:rPr>
            <m:sty m:val="p"/>
          </m:rPr>
          <w:rPr>
            <w:rFonts w:hint="eastAsia" w:ascii="Cambria Math" w:hAnsi="Cambria Math"/>
            <w:sz w:val="24"/>
          </w:rPr>
          <m:t>·</m:t>
        </m:r>
        <m:r>
          <m:rPr>
            <m:sty m:val="p"/>
          </m:rPr>
          <w:rPr>
            <w:rFonts w:ascii="Cambria Math" w:hAnsi="Cambria Math"/>
            <w:sz w:val="24"/>
          </w:rPr>
          <m:t>‖</m:t>
        </m:r>
      </m:oMath>
      <w:r>
        <w:rPr>
          <w:rFonts w:hint="eastAsia" w:ascii="Times New Roman" w:hAnsi="Times New Roman"/>
          <w:sz w:val="24"/>
        </w:rPr>
        <w:t>表示L2规范，</w:t>
      </w:r>
      <w:r>
        <w:rPr>
          <w:rFonts w:hint="eastAsia" w:ascii="Times New Roman" w:hAnsi="Times New Roman"/>
          <w:i/>
          <w:iCs/>
          <w:sz w:val="24"/>
        </w:rPr>
        <w:t>m</w:t>
      </w:r>
      <w:r>
        <w:rPr>
          <w:rFonts w:hint="eastAsia" w:ascii="Times New Roman" w:hAnsi="Times New Roman"/>
          <w:sz w:val="24"/>
        </w:rPr>
        <w:t>是细胞类型的数量，</w:t>
      </w:r>
      <m:oMath>
        <m:sSub>
          <m:sSubPr>
            <m:ctrlPr>
              <w:rPr>
                <w:rFonts w:ascii="Cambria Math" w:hAnsi="Cambria Math"/>
                <w:i/>
                <w:iCs/>
                <w:sz w:val="24"/>
              </w:rPr>
            </m:ctrlPr>
          </m:sSubPr>
          <m:e>
            <m:limUpp>
              <m:limUppPr>
                <m:ctrlPr>
                  <w:rPr>
                    <w:rFonts w:ascii="Cambria Math" w:hAnsi="Cambria Math"/>
                    <w:i/>
                    <w:iCs/>
                    <w:sz w:val="24"/>
                  </w:rPr>
                </m:ctrlPr>
              </m:limUppPr>
              <m:e>
                <m:r>
                  <m:rPr/>
                  <w:rPr>
                    <w:rFonts w:hint="eastAsia"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是第</w:t>
      </w:r>
      <m:oMath>
        <m:r>
          <m:rPr/>
          <w:rPr>
            <w:rFonts w:ascii="Cambria Math" w:hAnsi="Cambria Math"/>
            <w:sz w:val="24"/>
          </w:rPr>
          <m:t>i</m:t>
        </m:r>
      </m:oMath>
      <w:r>
        <w:rPr>
          <w:rFonts w:hint="eastAsia" w:ascii="Times New Roman" w:hAnsi="Times New Roman"/>
          <w:sz w:val="24"/>
        </w:rPr>
        <w:t>个spot中对第</w:t>
      </w:r>
      <m:oMath>
        <m:r>
          <m:rPr/>
          <w:rPr>
            <w:rFonts w:ascii="Cambria Math" w:hAnsi="Cambria Math"/>
            <w:sz w:val="24"/>
          </w:rPr>
          <m:t>i</m:t>
        </m:r>
      </m:oMath>
      <w:r>
        <w:rPr>
          <w:rFonts w:hint="eastAsia" w:ascii="Times New Roman" w:hAnsi="Times New Roman"/>
          <w:sz w:val="24"/>
        </w:rPr>
        <w:t>种细胞类型的预测比例,</w:t>
      </w:r>
      <w:r>
        <w:rPr>
          <w:rFonts w:ascii="Times New Roman" w:hAnsi="Times New Roman"/>
          <w:sz w:val="24"/>
        </w:rPr>
        <w:t xml:space="preserve"> </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表示该细胞类型在第</w:t>
      </w:r>
      <m:oMath>
        <m:r>
          <m:rPr/>
          <w:rPr>
            <w:rFonts w:ascii="Cambria Math" w:hAnsi="Cambria Math"/>
            <w:sz w:val="24"/>
          </w:rPr>
          <m:t>i</m:t>
        </m:r>
      </m:oMath>
      <w:r>
        <w:rPr>
          <w:rFonts w:hint="eastAsia" w:ascii="Times New Roman" w:hAnsi="Times New Roman"/>
          <w:sz w:val="24"/>
        </w:rPr>
        <w:t>个spot中的真实比例，</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和</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的定义和计算与PCC相同，对于一个spot来说，COSSIM值越高，表示预测结果越准确。</w:t>
      </w:r>
    </w:p>
    <w:p w14:paraId="78D20A7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（4）RMSE。首先计算了每个基因在所有spot的空间表达的z分数，然后使用以下公式计算：</w:t>
      </w:r>
    </w:p>
    <w:p w14:paraId="2CE8BE51">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RMSE</m:t>
              </m:r>
              <m:r>
                <m:rPr>
                  <m:sty m:val="p"/>
                </m:rPr>
                <w:rPr>
                  <w:rFonts w:ascii="Cambria Math" w:hAnsi="Cambria Math"/>
                  <w:sz w:val="24"/>
                </w:rPr>
                <m:t>=</m:t>
              </m:r>
              <m:rad>
                <m:radPr>
                  <m:degHide m:val="1"/>
                  <m:ctrlPr>
                    <w:rPr>
                      <w:rFonts w:ascii="Cambria Math" w:hAnsi="Cambria Math"/>
                      <w:sz w:val="24"/>
                    </w:rPr>
                  </m:ctrlPr>
                </m:radPr>
                <m:deg>
                  <m:ctrlPr>
                    <w:rPr>
                      <w:rFonts w:ascii="Cambria Math" w:hAnsi="Cambria Math"/>
                      <w:sz w:val="24"/>
                    </w:rPr>
                  </m:ctrlPr>
                </m:deg>
                <m:e>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M</m:t>
                      </m:r>
                      <m:ctrlPr>
                        <w:rPr>
                          <w:rFonts w:ascii="Cambria Math" w:hAnsi="Cambria Math"/>
                          <w:sz w:val="24"/>
                        </w:rPr>
                      </m:ctrlPr>
                    </m:den>
                  </m:f>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hint="eastAsia"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z</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e>
                      </m:d>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ctrlPr>
                    <w:rPr>
                      <w:rFonts w:ascii="Cambria Math" w:hAnsi="Cambria Math"/>
                      <w:sz w:val="24"/>
                    </w:rPr>
                  </m:ctrlPr>
                </m:e>
              </m:ra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3.21</m:t>
                  </m:r>
                  <m:ctrlPr>
                    <w:rPr>
                      <w:rFonts w:ascii="Cambria Math" w:hAnsi="Cambria Math"/>
                      <w:sz w:val="24"/>
                    </w:rPr>
                  </m:ctrlPr>
                </m:e>
              </m:d>
              <m:ctrlPr>
                <w:rPr>
                  <w:rFonts w:ascii="Cambria Math" w:hAnsi="Cambria Math"/>
                  <w:sz w:val="24"/>
                </w:rPr>
              </m:ctrlPr>
            </m:e>
          </m:eqArr>
        </m:oMath>
      </m:oMathPara>
    </w:p>
    <w:p w14:paraId="77D9F4BA">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和</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z</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在点</w:t>
      </w:r>
      <m:oMath>
        <m:r>
          <m:rPr>
            <m:nor/>
          </m:rPr>
          <w:rPr>
            <w:rFonts w:ascii="Times New Roman" w:hAnsi="Times New Roman"/>
            <w:i/>
            <w:iCs/>
            <w:sz w:val="24"/>
          </w:rPr>
          <m:t>j</m:t>
        </m:r>
      </m:oMath>
      <w:r>
        <w:rPr>
          <w:rFonts w:ascii="Times New Roman" w:hAnsi="Times New Roman"/>
          <w:sz w:val="24"/>
        </w:rPr>
        <w:t>的空间表达的</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 xml:space="preserve"> </m:t>
            </m:r>
            <m:ctrlPr>
              <w:rPr>
                <w:rFonts w:ascii="Cambria Math" w:hAnsi="Cambria Math"/>
                <w:i/>
                <w:iCs/>
                <w:sz w:val="24"/>
              </w:rPr>
            </m:ctrlPr>
          </m:sub>
        </m:sSub>
      </m:oMath>
      <w:r>
        <w:rPr>
          <w:rFonts w:ascii="Times New Roman" w:hAnsi="Times New Roman"/>
          <w:sz w:val="24"/>
        </w:rPr>
        <w:t>分数在真实情况和预测结果中的值。对于一个基因来说，较低的RMSE值表示预测的准确性更高。</w:t>
      </w:r>
    </w:p>
    <w:p w14:paraId="7F8E727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（5）JSD。JSD使用相对信息熵（即Kullback-Leibler散度）来确定两个分布之间的差异。首先按照以下方式计算每个基因的空间分布概率：</w:t>
      </w:r>
    </w:p>
    <w:p w14:paraId="16CA127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3.22</m:t>
                  </m:r>
                  <m:ctrlPr>
                    <w:rPr>
                      <w:rFonts w:ascii="Cambria Math" w:hAnsi="Cambria Math"/>
                      <w:sz w:val="24"/>
                    </w:rPr>
                  </m:ctrlPr>
                </m:e>
              </m:d>
              <m:ctrlPr>
                <w:rPr>
                  <w:rFonts w:ascii="Cambria Math" w:hAnsi="Cambria Math"/>
                  <w:sz w:val="24"/>
                </w:rPr>
              </m:ctrlPr>
            </m:e>
          </m:eqArr>
        </m:oMath>
      </m:oMathPara>
    </w:p>
    <w:p w14:paraId="6133A4AA">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 xml:space="preserve">的表达量, </w:t>
      </w:r>
      <m:oMath>
        <m:r>
          <m:rPr>
            <m:nor/>
          </m:rPr>
          <w:rPr>
            <w:rFonts w:hint="eastAsia" w:ascii="Times New Roman" w:hAnsi="Times New Roman"/>
            <w:i/>
            <w:iCs/>
            <w:sz w:val="24"/>
          </w:rPr>
          <m:t>M</m:t>
        </m:r>
      </m:oMath>
      <w:r>
        <w:rPr>
          <w:rFonts w:hint="eastAsia" w:ascii="Times New Roman" w:hAnsi="Times New Roman"/>
          <w:sz w:val="24"/>
        </w:rPr>
        <w:t>是点的总数，而</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是基因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的分布概率。</w:t>
      </w:r>
    </w:p>
    <w:p w14:paraId="1540FF8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然后，使用以下公式计算每个基因的JSD值：</w:t>
      </w:r>
    </w:p>
    <w:p w14:paraId="7996A0FF">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JSD</m:t>
              </m:r>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3.23</m:t>
                  </m:r>
                  <m:ctrlPr>
                    <w:rPr>
                      <w:rFonts w:ascii="Cambria Math" w:hAnsi="Cambria Math"/>
                      <w:sz w:val="24"/>
                    </w:rPr>
                  </m:ctrlPr>
                </m:e>
              </m:d>
              <m:ctrlPr>
                <w:rPr>
                  <w:rFonts w:ascii="Cambria Math" w:hAnsi="Cambria Math"/>
                  <w:sz w:val="24"/>
                </w:rPr>
              </m:ctrlPr>
            </m:e>
          </m:eqArr>
        </m:oMath>
      </m:oMathPara>
    </w:p>
    <w:p w14:paraId="22AB4C2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=0</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r>
                <m:rPr/>
                <w:rPr>
                  <w:rFonts w:ascii="Cambria Math" w:hAnsi="Cambria Math"/>
                  <w:sz w:val="24"/>
                </w:rPr>
                <m:t>log</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3.24</m:t>
                  </m:r>
                  <m:ctrlPr>
                    <w:rPr>
                      <w:rFonts w:ascii="Cambria Math" w:hAnsi="Cambria Math"/>
                      <w:sz w:val="24"/>
                    </w:rPr>
                  </m:ctrlPr>
                </m:e>
              </m:d>
              <m:ctrlPr>
                <w:rPr>
                  <w:rFonts w:ascii="Cambria Math" w:hAnsi="Cambria Math"/>
                  <w:sz w:val="24"/>
                </w:rPr>
              </m:ctrlPr>
            </m:e>
          </m:eqArr>
        </m:oMath>
      </m:oMathPara>
    </w:p>
    <w:p w14:paraId="20943A46">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在真实情况和预测结果中的空间分布概率向量，</w:t>
      </w:r>
      <m:oMath>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hint="eastAsia" w:ascii="Times New Roman" w:hAnsi="Times New Roman"/>
          <w:sz w:val="24"/>
        </w:rPr>
        <w:t>是两个概率分布</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之间的Kullback-Leibler散度，而</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的预测概率和真实概率。对于一个基因来说，较低的JSD值表示预测的准确性更高。</w:t>
      </w:r>
    </w:p>
    <w:p w14:paraId="718C5051">
      <w:pPr>
        <w:pStyle w:val="4"/>
        <w:spacing w:before="120" w:after="120" w:line="300" w:lineRule="auto"/>
        <w:jc w:val="left"/>
        <w:rPr>
          <w:rFonts w:hint="eastAsia" w:ascii="宋体" w:hAnsi="宋体" w:eastAsia="宋体"/>
        </w:rPr>
      </w:pPr>
      <w:bookmarkStart w:id="32" w:name="OLE_LINK63"/>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4对比结果及分析</w:t>
      </w:r>
    </w:p>
    <w:bookmarkEnd w:id="32"/>
    <w:p w14:paraId="2EF218C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采用上述实验设置，为了验证GCIRS模型在细胞组成推断方面的准确性，将GCIRS与10种常见的空间转录组学数据细胞组成推断方法在三个数据集上进行比较，在PCC、SSIM、COSSIM、RMSE和JSD这五种评价指标上对推断结果进行比较。对比算法为基于统计的方法</w:t>
      </w:r>
      <w:bookmarkStart w:id="33" w:name="OLE_LINK2"/>
      <w:r>
        <w:rPr>
          <w:rFonts w:hint="eastAsia" w:ascii="Times New Roman" w:hAnsi="Times New Roman"/>
          <w:sz w:val="24"/>
        </w:rPr>
        <w:t>Cell2location</w:t>
      </w:r>
      <w:bookmarkEnd w:id="33"/>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 xml:space="preserve"> 和 Stereoscope</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，基于回归的算法</w:t>
      </w:r>
      <w:bookmarkStart w:id="34" w:name="OLE_LINK5"/>
      <w:r>
        <w:rPr>
          <w:rFonts w:ascii="Times New Roman" w:hAnsi="Times New Roman"/>
          <w:sz w:val="24"/>
        </w:rPr>
        <w:t>Seurat</w:t>
      </w:r>
      <w:bookmarkEnd w:id="34"/>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_Ref201802930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_Ref201802856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 xml:space="preserve">和 </w:t>
      </w:r>
      <w:r>
        <w:rPr>
          <w:rFonts w:ascii="Times New Roman" w:hAnsi="Times New Roman"/>
          <w:sz w:val="24"/>
        </w:rPr>
        <w:t>CARD</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_Ref202172940 \r \h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，基于深度学习的算法</w:t>
      </w:r>
      <w:bookmarkStart w:id="35" w:name="OLE_LINK18"/>
      <w:r>
        <w:rPr>
          <w:rFonts w:ascii="Times New Roman" w:hAnsi="Times New Roman"/>
          <w:sz w:val="24"/>
        </w:rPr>
        <w:t>Tangram</w:t>
      </w:r>
      <w:bookmarkEnd w:id="35"/>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DestVI</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和SpatialcoGCN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，详细介绍如下：</w:t>
      </w:r>
    </w:p>
    <w:p w14:paraId="18AE678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Cell2location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：Cell2location 是一种贝叶斯模型，可以解析 ST 数据中的细粒度细胞类型，并创建不同组织的综合细胞图谱。它考虑了变异的技术来源，并借用了不同位置的统计强度，从而能够以比现有工具更高的灵敏度和分辨率集成单细胞和 ST数据。</w:t>
      </w:r>
    </w:p>
    <w:p w14:paraId="75C6BE4B">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：RCTD 假设在一个点上观察到的基因表达是参考细胞类型表达谱加上技术噪声的线性组合。使用 scRNA-seq 参考数据，通过拟合具有差异表达基因和平台效应的噪声线性模型来估计每个点的细胞类型比例。</w:t>
      </w:r>
    </w:p>
    <w:p w14:paraId="647F470B">
      <w:pPr>
        <w:autoSpaceDE w:val="0"/>
        <w:autoSpaceDN w:val="0"/>
        <w:adjustRightInd w:val="0"/>
        <w:spacing w:before="120" w:line="360" w:lineRule="auto"/>
        <w:ind w:firstLine="480" w:firstLineChars="200"/>
        <w:rPr>
          <w:rFonts w:ascii="Times New Roman" w:hAnsi="Times New Roman"/>
          <w:sz w:val="24"/>
        </w:rPr>
      </w:pPr>
      <w:bookmarkStart w:id="36" w:name="OLE_LINK21"/>
      <w:r>
        <w:rPr>
          <w:rFonts w:hint="eastAsia" w:ascii="Times New Roman" w:hAnsi="Times New Roman"/>
          <w:sz w:val="24"/>
        </w:rPr>
        <w:t>Stereoscope</w:t>
      </w:r>
      <w:bookmarkEnd w:id="36"/>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Stereoscope 利用基于模型的概率方法对空间数据中的单元混合物进行反卷积，其主要假设是空间数据和单单元数据都遵循负二项分布</w:t>
      </w:r>
      <w:r>
        <w:rPr>
          <w:rFonts w:hint="eastAsia" w:ascii="Times New Roman" w:hAnsi="Times New Roman"/>
          <w:sz w:val="24"/>
        </w:rPr>
        <w:t>。</w:t>
      </w:r>
    </w:p>
    <w:p w14:paraId="01D55E52">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Seurat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Seurat 使用经典相关分析 （CCA） 将空间和 scRNA-seq 数据嵌入到一个共同的潜在空间中，并将 scRNA-seq 数据中的细胞投射到 ST 数据的点上</w:t>
      </w:r>
      <w:r>
        <w:rPr>
          <w:rFonts w:hint="eastAsia" w:ascii="Times New Roman" w:hAnsi="Times New Roman"/>
          <w:sz w:val="24"/>
        </w:rPr>
        <w:t>。</w:t>
      </w:r>
    </w:p>
    <w:p w14:paraId="719023C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_Ref201802930 \r \h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SpatialDWLS 采用富集分析来识别每个位置的细胞类型，然后使用回归模型来估计所选细胞类型的比例</w:t>
      </w:r>
      <w:r>
        <w:rPr>
          <w:rFonts w:hint="eastAsia" w:ascii="Times New Roman" w:hAnsi="Times New Roman"/>
          <w:sz w:val="24"/>
        </w:rPr>
        <w:t>。</w:t>
      </w:r>
    </w:p>
    <w:p w14:paraId="41B9D87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_Ref201802856 \r \h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SPOTlight 是一种反卷积算法，它采用非负矩阵分解 （NMF） 回归算法和非负最小二乘法 （NNLS），其中 NMF 用于识别 scRNA-seq 参考文献中细胞类型特异性的主题谱，NNLS 用于识别 ST 数据中的斑点表达谱与主题谱之间的联系</w:t>
      </w:r>
      <w:r>
        <w:rPr>
          <w:rFonts w:hint="eastAsia" w:ascii="Times New Roman" w:hAnsi="Times New Roman"/>
          <w:sz w:val="24"/>
        </w:rPr>
        <w:t>。</w:t>
      </w:r>
    </w:p>
    <w:p w14:paraId="11B26D81">
      <w:pPr>
        <w:autoSpaceDE w:val="0"/>
        <w:autoSpaceDN w:val="0"/>
        <w:adjustRightInd w:val="0"/>
        <w:spacing w:before="120" w:line="360" w:lineRule="auto"/>
        <w:ind w:firstLine="480" w:firstLineChars="200"/>
        <w:rPr>
          <w:rFonts w:ascii="Times New Roman" w:hAnsi="Times New Roman"/>
          <w:sz w:val="24"/>
        </w:rPr>
      </w:pPr>
      <w:bookmarkStart w:id="37" w:name="OLE_LINK23"/>
      <w:r>
        <w:rPr>
          <w:rFonts w:hint="eastAsia" w:ascii="Times New Roman" w:hAnsi="Times New Roman"/>
          <w:sz w:val="24"/>
        </w:rPr>
        <w:t>CARD</w:t>
      </w:r>
      <w:bookmarkEnd w:id="37"/>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_Ref202172940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CARD 建立在 NMF 模型之上，设计了一个临时的条件自回归项，以在去卷积 ST 数据时考虑细胞类型组成的空间相关性</w:t>
      </w:r>
      <w:r>
        <w:rPr>
          <w:rFonts w:hint="eastAsia" w:ascii="Times New Roman" w:hAnsi="Times New Roman"/>
          <w:sz w:val="24"/>
        </w:rPr>
        <w:t>。</w:t>
      </w:r>
    </w:p>
    <w:p w14:paraId="051FB5A6">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Tangram</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Tangram 采用基于深度神经网络的非凸优化来获取 scRNA-seq 数据的空间比对</w:t>
      </w:r>
      <w:r>
        <w:rPr>
          <w:rFonts w:hint="eastAsia" w:ascii="Times New Roman" w:hAnsi="Times New Roman"/>
          <w:sz w:val="24"/>
        </w:rPr>
        <w:t>，</w:t>
      </w:r>
      <w:r>
        <w:rPr>
          <w:rFonts w:ascii="Times New Roman" w:hAnsi="Times New Roman"/>
          <w:sz w:val="24"/>
        </w:rPr>
        <w:t>通过将空间映射问题建模为优化任务，利用概率分布建模和空间表达对齐，结合多模态输入与正则化技术，实现了从单细胞数据到空间结构的高精度映</w:t>
      </w:r>
      <w:r>
        <w:rPr>
          <w:rFonts w:hint="eastAsia" w:ascii="Times New Roman" w:hAnsi="Times New Roman"/>
          <w:sz w:val="24"/>
        </w:rPr>
        <w:t>。</w:t>
      </w:r>
    </w:p>
    <w:p w14:paraId="2C88553B">
      <w:pPr>
        <w:autoSpaceDE w:val="0"/>
        <w:autoSpaceDN w:val="0"/>
        <w:adjustRightInd w:val="0"/>
        <w:spacing w:before="120" w:line="360" w:lineRule="auto"/>
        <w:ind w:firstLine="480" w:firstLineChars="200"/>
        <w:rPr>
          <w:rFonts w:ascii="Times New Roman" w:hAnsi="Times New Roman"/>
          <w:sz w:val="24"/>
        </w:rPr>
      </w:pPr>
      <w:bookmarkStart w:id="38" w:name="OLE_LINK4"/>
      <w:r>
        <w:rPr>
          <w:rFonts w:ascii="Times New Roman" w:hAnsi="Times New Roman"/>
          <w:sz w:val="24"/>
        </w:rPr>
        <w:t>DestVI</w:t>
      </w:r>
      <w:bookmarkEnd w:id="38"/>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DestVI 是一种变分推断驱动的空间去卷积方法，能够在每个 spot 内识别细胞类型比例及其连续状态变化，实现高分辨率的空间表达推断与亚型分析，引入了变分推理和潜在变量模型来解释细胞类型比例</w:t>
      </w:r>
      <w:r>
        <w:rPr>
          <w:rFonts w:hint="eastAsia" w:ascii="Times New Roman" w:hAnsi="Times New Roman"/>
          <w:sz w:val="24"/>
        </w:rPr>
        <w:t>。</w:t>
      </w:r>
    </w:p>
    <w:p w14:paraId="053A8D8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SpatialcoGCN 是一种结合共图卷积与自监督学习的空间转录组反卷积方法，能准确推断细胞组成与表达模式</w:t>
      </w:r>
      <w:r>
        <w:rPr>
          <w:rFonts w:hint="eastAsia" w:ascii="Times New Roman" w:hAnsi="Times New Roman"/>
          <w:sz w:val="24"/>
        </w:rPr>
        <w:t>，</w:t>
      </w:r>
      <w:r>
        <w:rPr>
          <w:rFonts w:ascii="Times New Roman" w:hAnsi="Times New Roman"/>
          <w:sz w:val="24"/>
        </w:rPr>
        <w:t>恢复原始数据中缺失的基因表达</w:t>
      </w:r>
      <w:r>
        <w:rPr>
          <w:rFonts w:hint="eastAsia" w:ascii="Times New Roman" w:hAnsi="Times New Roman"/>
          <w:sz w:val="24"/>
        </w:rPr>
        <w:t xml:space="preserve">。 </w:t>
      </w:r>
    </w:p>
    <w:p w14:paraId="3255414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对比实验结果如表3.3和3.4所示，加粗数据为实验最优数据，下划线数据为次优数据经过实验分析，可以发现：</w:t>
      </w:r>
      <w:bookmarkStart w:id="39" w:name="OLE_LINK62"/>
    </w:p>
    <w:bookmarkEnd w:id="39"/>
    <w:p w14:paraId="36CD27D1">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3</w:t>
      </w:r>
      <w:r>
        <w:rPr>
          <w:rFonts w:ascii="Times New Roman" w:hAnsi="Times New Roman"/>
          <w:kern w:val="0"/>
          <w:sz w:val="24"/>
        </w:rPr>
        <w:t xml:space="preserve"> ExSeq</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6176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777D5CFB">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1F650425">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015CB5C5">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5CB5EE21">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4A7D3E3B">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1C9455C">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29C85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218F6448">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506E617">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0.2923</w:t>
            </w:r>
          </w:p>
        </w:tc>
        <w:tc>
          <w:tcPr>
            <w:tcW w:w="780" w:type="pct"/>
            <w:tcBorders>
              <w:top w:val="single" w:color="auto" w:sz="8" w:space="0"/>
            </w:tcBorders>
            <w:vAlign w:val="bottom"/>
          </w:tcPr>
          <w:p w14:paraId="44B5C23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0.2584</w:t>
            </w:r>
          </w:p>
        </w:tc>
        <w:tc>
          <w:tcPr>
            <w:tcW w:w="780" w:type="pct"/>
            <w:tcBorders>
              <w:top w:val="single" w:color="auto" w:sz="8" w:space="0"/>
            </w:tcBorders>
            <w:vAlign w:val="bottom"/>
          </w:tcPr>
          <w:p w14:paraId="0BE8AB3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0.3834</w:t>
            </w:r>
          </w:p>
        </w:tc>
        <w:tc>
          <w:tcPr>
            <w:tcW w:w="778" w:type="pct"/>
            <w:tcBorders>
              <w:top w:val="single" w:color="auto" w:sz="8" w:space="0"/>
            </w:tcBorders>
            <w:vAlign w:val="bottom"/>
          </w:tcPr>
          <w:p w14:paraId="77FD6B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0.2115</w:t>
            </w:r>
          </w:p>
        </w:tc>
        <w:tc>
          <w:tcPr>
            <w:tcW w:w="779" w:type="pct"/>
            <w:tcBorders>
              <w:top w:val="single" w:color="auto" w:sz="8" w:space="0"/>
            </w:tcBorders>
            <w:vAlign w:val="bottom"/>
          </w:tcPr>
          <w:p w14:paraId="50034DB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0.6244</w:t>
            </w:r>
          </w:p>
        </w:tc>
      </w:tr>
      <w:tr w14:paraId="1D204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61C0B3D">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7CE7C5B3">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0.2594</w:t>
            </w:r>
          </w:p>
        </w:tc>
        <w:tc>
          <w:tcPr>
            <w:tcW w:w="780" w:type="pct"/>
            <w:vAlign w:val="bottom"/>
          </w:tcPr>
          <w:p w14:paraId="62985A1D">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0.0137</w:t>
            </w:r>
          </w:p>
        </w:tc>
        <w:tc>
          <w:tcPr>
            <w:tcW w:w="780" w:type="pct"/>
            <w:vAlign w:val="bottom"/>
          </w:tcPr>
          <w:p w14:paraId="09C5EE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0.4175</w:t>
            </w:r>
          </w:p>
        </w:tc>
        <w:tc>
          <w:tcPr>
            <w:tcW w:w="778" w:type="pct"/>
            <w:vAlign w:val="bottom"/>
          </w:tcPr>
          <w:p w14:paraId="095DF6F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0.1667</w:t>
            </w:r>
          </w:p>
        </w:tc>
        <w:tc>
          <w:tcPr>
            <w:tcW w:w="779" w:type="pct"/>
            <w:vAlign w:val="bottom"/>
          </w:tcPr>
          <w:p w14:paraId="74D7FD6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0.6252</w:t>
            </w:r>
          </w:p>
        </w:tc>
      </w:tr>
      <w:tr w14:paraId="2CAAE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38CB41">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4CDA6D2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0.3693</w:t>
            </w:r>
          </w:p>
        </w:tc>
        <w:tc>
          <w:tcPr>
            <w:tcW w:w="780" w:type="pct"/>
            <w:vAlign w:val="bottom"/>
          </w:tcPr>
          <w:p w14:paraId="729A6AC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0.2875</w:t>
            </w:r>
          </w:p>
        </w:tc>
        <w:tc>
          <w:tcPr>
            <w:tcW w:w="780" w:type="pct"/>
            <w:vAlign w:val="bottom"/>
          </w:tcPr>
          <w:p w14:paraId="28FF26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0.4925</w:t>
            </w:r>
          </w:p>
        </w:tc>
        <w:tc>
          <w:tcPr>
            <w:tcW w:w="778" w:type="pct"/>
            <w:vAlign w:val="bottom"/>
          </w:tcPr>
          <w:p w14:paraId="5F774D3C">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0.1684</w:t>
            </w:r>
          </w:p>
        </w:tc>
        <w:tc>
          <w:tcPr>
            <w:tcW w:w="779" w:type="pct"/>
            <w:vAlign w:val="bottom"/>
          </w:tcPr>
          <w:p w14:paraId="7EDAD85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0.5699</w:t>
            </w:r>
          </w:p>
        </w:tc>
      </w:tr>
      <w:tr w14:paraId="67443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29C4EAB">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3182CB8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0.2829</w:t>
            </w:r>
          </w:p>
        </w:tc>
        <w:tc>
          <w:tcPr>
            <w:tcW w:w="780" w:type="pct"/>
            <w:vAlign w:val="bottom"/>
          </w:tcPr>
          <w:p w14:paraId="01C749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0.1605</w:t>
            </w:r>
          </w:p>
        </w:tc>
        <w:tc>
          <w:tcPr>
            <w:tcW w:w="780" w:type="pct"/>
            <w:vAlign w:val="bottom"/>
          </w:tcPr>
          <w:p w14:paraId="55620B7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0.4851</w:t>
            </w:r>
          </w:p>
        </w:tc>
        <w:tc>
          <w:tcPr>
            <w:tcW w:w="778" w:type="pct"/>
            <w:vAlign w:val="bottom"/>
          </w:tcPr>
          <w:p w14:paraId="2D5EFF7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0.1607</w:t>
            </w:r>
          </w:p>
        </w:tc>
        <w:tc>
          <w:tcPr>
            <w:tcW w:w="779" w:type="pct"/>
            <w:vAlign w:val="bottom"/>
          </w:tcPr>
          <w:p w14:paraId="307A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0.6113</w:t>
            </w:r>
          </w:p>
        </w:tc>
      </w:tr>
      <w:tr w14:paraId="6CCF0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E07EA97">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50BF7A5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0.4776</w:t>
            </w:r>
          </w:p>
        </w:tc>
        <w:tc>
          <w:tcPr>
            <w:tcW w:w="780" w:type="pct"/>
            <w:vAlign w:val="bottom"/>
          </w:tcPr>
          <w:p w14:paraId="5CC66E5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0.3944</w:t>
            </w:r>
          </w:p>
        </w:tc>
        <w:tc>
          <w:tcPr>
            <w:tcW w:w="780" w:type="pct"/>
            <w:vAlign w:val="bottom"/>
          </w:tcPr>
          <w:p w14:paraId="43840C0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0.5874</w:t>
            </w:r>
          </w:p>
        </w:tc>
        <w:tc>
          <w:tcPr>
            <w:tcW w:w="778" w:type="pct"/>
            <w:vAlign w:val="bottom"/>
          </w:tcPr>
          <w:p w14:paraId="3BCE04C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0.1473</w:t>
            </w:r>
          </w:p>
        </w:tc>
        <w:tc>
          <w:tcPr>
            <w:tcW w:w="779" w:type="pct"/>
            <w:vAlign w:val="bottom"/>
          </w:tcPr>
          <w:p w14:paraId="699AA59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0.5321</w:t>
            </w:r>
          </w:p>
        </w:tc>
      </w:tr>
      <w:tr w14:paraId="3BFEE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CCD90D7">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553A658A">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0.2929</w:t>
            </w:r>
          </w:p>
        </w:tc>
        <w:tc>
          <w:tcPr>
            <w:tcW w:w="780" w:type="pct"/>
            <w:vAlign w:val="bottom"/>
          </w:tcPr>
          <w:p w14:paraId="3C564C6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0.1528</w:t>
            </w:r>
          </w:p>
        </w:tc>
        <w:tc>
          <w:tcPr>
            <w:tcW w:w="780" w:type="pct"/>
            <w:vAlign w:val="bottom"/>
          </w:tcPr>
          <w:p w14:paraId="55BCF8A2">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0.4825</w:t>
            </w:r>
          </w:p>
        </w:tc>
        <w:tc>
          <w:tcPr>
            <w:tcW w:w="778" w:type="pct"/>
            <w:vAlign w:val="bottom"/>
          </w:tcPr>
          <w:p w14:paraId="4D9B3F0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0.1626</w:t>
            </w:r>
          </w:p>
        </w:tc>
        <w:tc>
          <w:tcPr>
            <w:tcW w:w="779" w:type="pct"/>
            <w:vAlign w:val="bottom"/>
          </w:tcPr>
          <w:p w14:paraId="57CF04FB">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0.5917</w:t>
            </w:r>
          </w:p>
        </w:tc>
      </w:tr>
      <w:tr w14:paraId="01E7F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B9404B">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29E4509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0.4421</w:t>
            </w:r>
          </w:p>
        </w:tc>
        <w:tc>
          <w:tcPr>
            <w:tcW w:w="780" w:type="pct"/>
            <w:vAlign w:val="bottom"/>
          </w:tcPr>
          <w:p w14:paraId="36F3A3E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0.2715</w:t>
            </w:r>
          </w:p>
        </w:tc>
        <w:tc>
          <w:tcPr>
            <w:tcW w:w="780" w:type="pct"/>
            <w:vAlign w:val="bottom"/>
          </w:tcPr>
          <w:p w14:paraId="3BE42EA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0.5746</w:t>
            </w:r>
          </w:p>
        </w:tc>
        <w:tc>
          <w:tcPr>
            <w:tcW w:w="778" w:type="pct"/>
            <w:vAlign w:val="bottom"/>
          </w:tcPr>
          <w:p w14:paraId="3BDEDD6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0.1515</w:t>
            </w:r>
          </w:p>
        </w:tc>
        <w:tc>
          <w:tcPr>
            <w:tcW w:w="779" w:type="pct"/>
            <w:vAlign w:val="bottom"/>
          </w:tcPr>
          <w:p w14:paraId="6FE0108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0.5541</w:t>
            </w:r>
          </w:p>
        </w:tc>
      </w:tr>
      <w:tr w14:paraId="4E71B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421C08">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REF _Ref201802971 \r \h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4F3A37C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0.1499</w:t>
            </w:r>
          </w:p>
        </w:tc>
        <w:tc>
          <w:tcPr>
            <w:tcW w:w="780" w:type="pct"/>
            <w:vAlign w:val="bottom"/>
          </w:tcPr>
          <w:p w14:paraId="077A81B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0.1156</w:t>
            </w:r>
          </w:p>
        </w:tc>
        <w:tc>
          <w:tcPr>
            <w:tcW w:w="780" w:type="pct"/>
            <w:vAlign w:val="bottom"/>
          </w:tcPr>
          <w:p w14:paraId="01D0359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0.3326</w:t>
            </w:r>
          </w:p>
        </w:tc>
        <w:tc>
          <w:tcPr>
            <w:tcW w:w="778" w:type="pct"/>
            <w:vAlign w:val="bottom"/>
          </w:tcPr>
          <w:p w14:paraId="2BA3792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0.1887</w:t>
            </w:r>
          </w:p>
        </w:tc>
        <w:tc>
          <w:tcPr>
            <w:tcW w:w="779" w:type="pct"/>
            <w:vAlign w:val="bottom"/>
          </w:tcPr>
          <w:p w14:paraId="396ABA1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0.6528</w:t>
            </w:r>
          </w:p>
        </w:tc>
      </w:tr>
      <w:tr w14:paraId="4C595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DFB576">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504169E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0.4990</w:t>
            </w:r>
          </w:p>
        </w:tc>
        <w:tc>
          <w:tcPr>
            <w:tcW w:w="780" w:type="pct"/>
            <w:vAlign w:val="bottom"/>
          </w:tcPr>
          <w:p w14:paraId="78897EE3">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0.3926</w:t>
            </w:r>
          </w:p>
        </w:tc>
        <w:tc>
          <w:tcPr>
            <w:tcW w:w="780" w:type="pct"/>
            <w:vAlign w:val="bottom"/>
          </w:tcPr>
          <w:p w14:paraId="4DD5C9D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0.6076</w:t>
            </w:r>
          </w:p>
        </w:tc>
        <w:tc>
          <w:tcPr>
            <w:tcW w:w="778" w:type="pct"/>
            <w:vAlign w:val="bottom"/>
          </w:tcPr>
          <w:p w14:paraId="1DAD353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0.1386</w:t>
            </w:r>
          </w:p>
        </w:tc>
        <w:tc>
          <w:tcPr>
            <w:tcW w:w="779" w:type="pct"/>
            <w:vAlign w:val="bottom"/>
          </w:tcPr>
          <w:p w14:paraId="18DF5F5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0.5230</w:t>
            </w:r>
          </w:p>
        </w:tc>
      </w:tr>
      <w:tr w14:paraId="229F8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A60503F">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vAlign w:val="bottom"/>
          </w:tcPr>
          <w:p w14:paraId="7BF34957">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0.5038</w:t>
            </w:r>
          </w:p>
        </w:tc>
        <w:tc>
          <w:tcPr>
            <w:tcW w:w="780" w:type="pct"/>
            <w:tcBorders>
              <w:bottom w:val="single" w:color="auto" w:sz="12" w:space="0"/>
            </w:tcBorders>
            <w:vAlign w:val="bottom"/>
          </w:tcPr>
          <w:p w14:paraId="3F51813F">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0.4192</w:t>
            </w:r>
          </w:p>
        </w:tc>
        <w:tc>
          <w:tcPr>
            <w:tcW w:w="780" w:type="pct"/>
            <w:tcBorders>
              <w:bottom w:val="single" w:color="auto" w:sz="12" w:space="0"/>
            </w:tcBorders>
            <w:vAlign w:val="bottom"/>
          </w:tcPr>
          <w:p w14:paraId="34D8246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0.6196</w:t>
            </w:r>
          </w:p>
        </w:tc>
        <w:tc>
          <w:tcPr>
            <w:tcW w:w="778" w:type="pct"/>
            <w:tcBorders>
              <w:bottom w:val="single" w:color="auto" w:sz="12" w:space="0"/>
            </w:tcBorders>
            <w:vAlign w:val="bottom"/>
          </w:tcPr>
          <w:p w14:paraId="62FA61E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0.1365</w:t>
            </w:r>
          </w:p>
        </w:tc>
        <w:tc>
          <w:tcPr>
            <w:tcW w:w="779" w:type="pct"/>
            <w:tcBorders>
              <w:bottom w:val="single" w:color="auto" w:sz="12" w:space="0"/>
            </w:tcBorders>
            <w:vAlign w:val="bottom"/>
          </w:tcPr>
          <w:p w14:paraId="3A8BDCB9">
            <w:pPr>
              <w:adjustRightInd w:val="0"/>
              <w:snapToGrid w:val="0"/>
              <w:spacing w:line="360" w:lineRule="auto"/>
              <w:jc w:val="center"/>
              <w:rPr>
                <w:rFonts w:ascii="Times New Roman" w:hAnsi="Times New Roman"/>
                <w:b/>
                <w:kern w:val="0"/>
                <w:sz w:val="24"/>
              </w:rPr>
            </w:pPr>
            <w:r>
              <w:rPr>
                <w:rFonts w:ascii="Times New Roman" w:hAnsi="Times New Roman"/>
                <w:b/>
                <w:color w:val="000000" w:themeColor="text1"/>
                <w:kern w:val="24"/>
                <w:sz w:val="24"/>
                <w14:textFill>
                  <w14:solidFill>
                    <w14:schemeClr w14:val="tx1"/>
                  </w14:solidFill>
                </w14:textFill>
              </w:rPr>
              <w:t>0.5104</w:t>
            </w:r>
          </w:p>
        </w:tc>
      </w:tr>
    </w:tbl>
    <w:p w14:paraId="7851B1A2">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（1）GCIRS的结果在数据集中的表现均有所提高。与次优结果相比，</w:t>
      </w:r>
      <w:bookmarkStart w:id="40" w:name="OLE_LINK12"/>
      <w:r>
        <w:rPr>
          <w:rFonts w:ascii="Times New Roman" w:hAnsi="Times New Roman"/>
          <w:sz w:val="24"/>
        </w:rPr>
        <w:t>ExSe</w:t>
      </w:r>
      <w:bookmarkStart w:id="41" w:name="OLE_LINK22"/>
      <w:r>
        <w:rPr>
          <w:rFonts w:ascii="Times New Roman" w:hAnsi="Times New Roman"/>
          <w:sz w:val="24"/>
        </w:rPr>
        <w:t>q</w:t>
      </w:r>
      <w:bookmarkEnd w:id="40"/>
      <w:bookmarkEnd w:id="41"/>
      <w:r>
        <w:rPr>
          <w:rFonts w:hint="eastAsia" w:ascii="Times New Roman" w:hAnsi="Times New Roman"/>
          <w:sz w:val="24"/>
        </w:rPr>
        <w:t>数据集中，在</w:t>
      </w:r>
      <w:bookmarkStart w:id="42" w:name="OLE_LINK11"/>
      <w:r>
        <w:rPr>
          <w:rFonts w:hint="eastAsia" w:ascii="Times New Roman" w:hAnsi="Times New Roman"/>
          <w:sz w:val="24"/>
        </w:rPr>
        <w:t>PCC、SSIM、COSSIM、RMSE</w:t>
      </w:r>
      <w:bookmarkEnd w:id="42"/>
      <w:r>
        <w:rPr>
          <w:rFonts w:hint="eastAsia" w:ascii="Times New Roman" w:hAnsi="Times New Roman"/>
          <w:sz w:val="24"/>
        </w:rPr>
        <w:t>和JSD五个指标中，提高了0.48%、2.66%、1.2%、0.21%和1.26%。在</w:t>
      </w:r>
      <w:bookmarkStart w:id="43" w:name="OLE_LINK13"/>
      <w:r>
        <w:rPr>
          <w:rFonts w:ascii="Times New Roman" w:hAnsi="Times New Roman"/>
          <w:sz w:val="24"/>
        </w:rPr>
        <w:t>seqFISH+</w:t>
      </w:r>
      <w:bookmarkEnd w:id="43"/>
      <w:r>
        <w:rPr>
          <w:rFonts w:hint="eastAsia" w:ascii="Times New Roman" w:hAnsi="Times New Roman"/>
          <w:sz w:val="24"/>
        </w:rPr>
        <w:t>数据集中，PCC、SSIM、COSSIM、RMSE分别提高了1.59%、0.33%、1.91%、0.49%。GCIRS构图时以细胞为媒介，挖掘了更多spot之间的设计结构化图对比学习能够更加充分地提取到scRNA-seq数据和空间转录组学数据的一致性信息，将scRNA-seq的信息迁移学习到空间转录组学数据中。</w:t>
      </w:r>
    </w:p>
    <w:p w14:paraId="0D48025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相比于SSIM和JSD这两项评价指标，RMSE指标的数提升较少，这可能是因为在构造伪spot时，其空间信息是从空间转录组学数据中参考而来的，但是本身细胞的空间位置信息是受多种因素影响的，这种单一的构造方式并不能完全模拟出真实空间数据的空间信息，所以导致其提升比较少，且参考不同的空间信</w:t>
      </w:r>
    </w:p>
    <w:p w14:paraId="6C8BB523">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4</w:t>
      </w:r>
      <w:r>
        <w:rPr>
          <w:rFonts w:ascii="Times New Roman" w:hAnsi="Times New Roman"/>
          <w:kern w:val="0"/>
          <w:sz w:val="24"/>
        </w:rPr>
        <w:t xml:space="preserve"> seqFISH+</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3BAD0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46B0E53E">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0B575A29">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312A9A2E">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4A69B4E5">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544D9B65">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04F423D">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34EF9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7736F836">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2DD1C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0.6721</w:t>
            </w:r>
          </w:p>
        </w:tc>
        <w:tc>
          <w:tcPr>
            <w:tcW w:w="780" w:type="pct"/>
            <w:tcBorders>
              <w:top w:val="single" w:color="auto" w:sz="8" w:space="0"/>
            </w:tcBorders>
            <w:vAlign w:val="bottom"/>
          </w:tcPr>
          <w:p w14:paraId="478C5EF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0.6021</w:t>
            </w:r>
          </w:p>
        </w:tc>
        <w:tc>
          <w:tcPr>
            <w:tcW w:w="780" w:type="pct"/>
            <w:tcBorders>
              <w:top w:val="single" w:color="auto" w:sz="8" w:space="0"/>
            </w:tcBorders>
            <w:vAlign w:val="bottom"/>
          </w:tcPr>
          <w:p w14:paraId="6F2459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0.7240</w:t>
            </w:r>
          </w:p>
        </w:tc>
        <w:tc>
          <w:tcPr>
            <w:tcW w:w="778" w:type="pct"/>
            <w:tcBorders>
              <w:top w:val="single" w:color="auto" w:sz="8" w:space="0"/>
            </w:tcBorders>
            <w:vAlign w:val="bottom"/>
          </w:tcPr>
          <w:p w14:paraId="608AD55F">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0.1248</w:t>
            </w:r>
          </w:p>
        </w:tc>
        <w:tc>
          <w:tcPr>
            <w:tcW w:w="779" w:type="pct"/>
            <w:tcBorders>
              <w:top w:val="single" w:color="auto" w:sz="8" w:space="0"/>
            </w:tcBorders>
            <w:vAlign w:val="bottom"/>
          </w:tcPr>
          <w:p w14:paraId="4928952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0.4077</w:t>
            </w:r>
          </w:p>
        </w:tc>
      </w:tr>
      <w:tr w14:paraId="59E90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6565505">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19089110">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0.2936</w:t>
            </w:r>
          </w:p>
        </w:tc>
        <w:tc>
          <w:tcPr>
            <w:tcW w:w="780" w:type="pct"/>
            <w:vAlign w:val="bottom"/>
          </w:tcPr>
          <w:p w14:paraId="78B1CA0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0.0152</w:t>
            </w:r>
          </w:p>
        </w:tc>
        <w:tc>
          <w:tcPr>
            <w:tcW w:w="780" w:type="pct"/>
            <w:vAlign w:val="bottom"/>
          </w:tcPr>
          <w:p w14:paraId="57A0901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0.4607</w:t>
            </w:r>
          </w:p>
        </w:tc>
        <w:tc>
          <w:tcPr>
            <w:tcW w:w="778" w:type="pct"/>
            <w:vAlign w:val="bottom"/>
          </w:tcPr>
          <w:p w14:paraId="45C48D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0.1484</w:t>
            </w:r>
          </w:p>
        </w:tc>
        <w:tc>
          <w:tcPr>
            <w:tcW w:w="779" w:type="pct"/>
            <w:vAlign w:val="bottom"/>
          </w:tcPr>
          <w:p w14:paraId="2075953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0.5887</w:t>
            </w:r>
          </w:p>
        </w:tc>
      </w:tr>
      <w:tr w14:paraId="0BD81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BD3F0D5">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6CCB0D31">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0.7610</w:t>
            </w:r>
          </w:p>
        </w:tc>
        <w:tc>
          <w:tcPr>
            <w:tcW w:w="780" w:type="pct"/>
            <w:vAlign w:val="bottom"/>
          </w:tcPr>
          <w:p w14:paraId="44C60DA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0.7242</w:t>
            </w:r>
          </w:p>
        </w:tc>
        <w:tc>
          <w:tcPr>
            <w:tcW w:w="780" w:type="pct"/>
            <w:vAlign w:val="bottom"/>
          </w:tcPr>
          <w:p w14:paraId="7D05CB00">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0.8195</w:t>
            </w:r>
          </w:p>
        </w:tc>
        <w:tc>
          <w:tcPr>
            <w:tcW w:w="778" w:type="pct"/>
            <w:vAlign w:val="bottom"/>
          </w:tcPr>
          <w:p w14:paraId="6249C65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0.0793</w:t>
            </w:r>
          </w:p>
        </w:tc>
        <w:tc>
          <w:tcPr>
            <w:tcW w:w="779" w:type="pct"/>
            <w:vAlign w:val="bottom"/>
          </w:tcPr>
          <w:p w14:paraId="434A136D">
            <w:pPr>
              <w:adjustRightInd w:val="0"/>
              <w:snapToGrid w:val="0"/>
              <w:spacing w:line="360" w:lineRule="auto"/>
              <w:jc w:val="center"/>
              <w:rPr>
                <w:rFonts w:ascii="Times New Roman" w:hAnsi="Times New Roman"/>
                <w:color w:val="000000"/>
                <w:kern w:val="0"/>
                <w:sz w:val="24"/>
                <w:u w:val="single"/>
              </w:rPr>
            </w:pPr>
            <w:r>
              <w:rPr>
                <w:rFonts w:ascii="Times New Roman" w:hAnsi="Times New Roman"/>
                <w:color w:val="000000" w:themeColor="text1"/>
                <w:kern w:val="24"/>
                <w:sz w:val="24"/>
                <w:u w:val="single"/>
                <w14:textFill>
                  <w14:solidFill>
                    <w14:schemeClr w14:val="tx1"/>
                  </w14:solidFill>
                </w14:textFill>
              </w:rPr>
              <w:t>0.3405</w:t>
            </w:r>
          </w:p>
        </w:tc>
      </w:tr>
      <w:tr w14:paraId="272E3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CB92EA8">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673FE0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0.6752</w:t>
            </w:r>
          </w:p>
        </w:tc>
        <w:tc>
          <w:tcPr>
            <w:tcW w:w="780" w:type="pct"/>
            <w:vAlign w:val="bottom"/>
          </w:tcPr>
          <w:p w14:paraId="1898AAF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0.4754</w:t>
            </w:r>
          </w:p>
        </w:tc>
        <w:tc>
          <w:tcPr>
            <w:tcW w:w="780" w:type="pct"/>
            <w:vAlign w:val="bottom"/>
          </w:tcPr>
          <w:p w14:paraId="33E4C8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0.7464</w:t>
            </w:r>
          </w:p>
        </w:tc>
        <w:tc>
          <w:tcPr>
            <w:tcW w:w="778" w:type="pct"/>
            <w:vAlign w:val="bottom"/>
          </w:tcPr>
          <w:p w14:paraId="6AF894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0.1168</w:t>
            </w:r>
          </w:p>
        </w:tc>
        <w:tc>
          <w:tcPr>
            <w:tcW w:w="779" w:type="pct"/>
            <w:vAlign w:val="bottom"/>
          </w:tcPr>
          <w:p w14:paraId="5D6C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0.4894</w:t>
            </w:r>
          </w:p>
        </w:tc>
      </w:tr>
      <w:tr w14:paraId="7BA6F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406B3B3">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0028B10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564</w:t>
            </w:r>
          </w:p>
        </w:tc>
        <w:tc>
          <w:tcPr>
            <w:tcW w:w="780" w:type="pct"/>
            <w:vAlign w:val="bottom"/>
          </w:tcPr>
          <w:p w14:paraId="341BE23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034</w:t>
            </w:r>
          </w:p>
        </w:tc>
        <w:tc>
          <w:tcPr>
            <w:tcW w:w="780" w:type="pct"/>
            <w:vAlign w:val="bottom"/>
          </w:tcPr>
          <w:p w14:paraId="2CC2F45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w:t>
            </w:r>
            <w:r>
              <w:rPr>
                <w:rFonts w:hint="eastAsia" w:ascii="Times New Roman" w:hAnsi="Times New Roman"/>
                <w:color w:val="000000" w:themeColor="text1"/>
                <w:kern w:val="24"/>
                <w:sz w:val="24"/>
                <w14:textFill>
                  <w14:solidFill>
                    <w14:schemeClr w14:val="tx1"/>
                  </w14:solidFill>
                </w14:textFill>
              </w:rPr>
              <w:t>7988</w:t>
            </w:r>
          </w:p>
        </w:tc>
        <w:tc>
          <w:tcPr>
            <w:tcW w:w="778" w:type="pct"/>
            <w:vAlign w:val="bottom"/>
          </w:tcPr>
          <w:p w14:paraId="4E24559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w:t>
            </w:r>
            <w:r>
              <w:rPr>
                <w:rFonts w:hint="eastAsia" w:ascii="Times New Roman" w:hAnsi="Times New Roman"/>
                <w:color w:val="000000" w:themeColor="text1"/>
                <w:kern w:val="24"/>
                <w:sz w:val="24"/>
                <w14:textFill>
                  <w14:solidFill>
                    <w14:schemeClr w14:val="tx1"/>
                  </w14:solidFill>
                </w14:textFill>
              </w:rPr>
              <w:t>882</w:t>
            </w:r>
          </w:p>
        </w:tc>
        <w:tc>
          <w:tcPr>
            <w:tcW w:w="779" w:type="pct"/>
            <w:vAlign w:val="bottom"/>
          </w:tcPr>
          <w:p w14:paraId="62F56816">
            <w:pPr>
              <w:adjustRightInd w:val="0"/>
              <w:snapToGrid w:val="0"/>
              <w:spacing w:line="360" w:lineRule="auto"/>
              <w:jc w:val="center"/>
              <w:rPr>
                <w:rFonts w:ascii="Times New Roman" w:hAnsi="Times New Roman"/>
                <w:b/>
                <w:bCs/>
                <w:color w:val="000000"/>
                <w:kern w:val="0"/>
                <w:sz w:val="24"/>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3386</w:t>
            </w:r>
          </w:p>
        </w:tc>
      </w:tr>
      <w:tr w14:paraId="607CA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06E99FD">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3E164C76">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0.0792</w:t>
            </w:r>
          </w:p>
        </w:tc>
        <w:tc>
          <w:tcPr>
            <w:tcW w:w="780" w:type="pct"/>
            <w:vAlign w:val="bottom"/>
          </w:tcPr>
          <w:p w14:paraId="788024A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0.0813</w:t>
            </w:r>
          </w:p>
        </w:tc>
        <w:tc>
          <w:tcPr>
            <w:tcW w:w="780" w:type="pct"/>
            <w:vAlign w:val="bottom"/>
          </w:tcPr>
          <w:p w14:paraId="670A258E">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0.2615</w:t>
            </w:r>
          </w:p>
        </w:tc>
        <w:tc>
          <w:tcPr>
            <w:tcW w:w="778" w:type="pct"/>
            <w:vAlign w:val="bottom"/>
          </w:tcPr>
          <w:p w14:paraId="0B4F962D">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0.1950</w:t>
            </w:r>
          </w:p>
        </w:tc>
        <w:tc>
          <w:tcPr>
            <w:tcW w:w="779" w:type="pct"/>
            <w:vAlign w:val="bottom"/>
          </w:tcPr>
          <w:p w14:paraId="0740EAC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0.6748</w:t>
            </w:r>
          </w:p>
        </w:tc>
      </w:tr>
      <w:tr w14:paraId="55467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29DEE9DE">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67BEC52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0.7231</w:t>
            </w:r>
          </w:p>
        </w:tc>
        <w:tc>
          <w:tcPr>
            <w:tcW w:w="780" w:type="pct"/>
            <w:vAlign w:val="bottom"/>
          </w:tcPr>
          <w:p w14:paraId="1C9DA13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0.5803</w:t>
            </w:r>
          </w:p>
        </w:tc>
        <w:tc>
          <w:tcPr>
            <w:tcW w:w="780" w:type="pct"/>
            <w:vAlign w:val="bottom"/>
          </w:tcPr>
          <w:p w14:paraId="663F6C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0.7918</w:t>
            </w:r>
          </w:p>
        </w:tc>
        <w:tc>
          <w:tcPr>
            <w:tcW w:w="778" w:type="pct"/>
            <w:vAlign w:val="bottom"/>
          </w:tcPr>
          <w:p w14:paraId="2A36998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0.1051</w:t>
            </w:r>
          </w:p>
        </w:tc>
        <w:tc>
          <w:tcPr>
            <w:tcW w:w="779" w:type="pct"/>
            <w:vAlign w:val="bottom"/>
          </w:tcPr>
          <w:p w14:paraId="0BABB4D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0.4270</w:t>
            </w:r>
          </w:p>
        </w:tc>
      </w:tr>
      <w:tr w14:paraId="33374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C0332DB">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_Ref201802971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71C2A5F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0.1030</w:t>
            </w:r>
          </w:p>
        </w:tc>
        <w:tc>
          <w:tcPr>
            <w:tcW w:w="780" w:type="pct"/>
            <w:vAlign w:val="bottom"/>
          </w:tcPr>
          <w:p w14:paraId="5365ED9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0.0921</w:t>
            </w:r>
          </w:p>
        </w:tc>
        <w:tc>
          <w:tcPr>
            <w:tcW w:w="780" w:type="pct"/>
            <w:vAlign w:val="bottom"/>
          </w:tcPr>
          <w:p w14:paraId="0858934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0.2893</w:t>
            </w:r>
          </w:p>
        </w:tc>
        <w:tc>
          <w:tcPr>
            <w:tcW w:w="778" w:type="pct"/>
            <w:vAlign w:val="bottom"/>
          </w:tcPr>
          <w:p w14:paraId="4915A61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0.1992</w:t>
            </w:r>
          </w:p>
        </w:tc>
        <w:tc>
          <w:tcPr>
            <w:tcW w:w="779" w:type="pct"/>
            <w:vAlign w:val="bottom"/>
          </w:tcPr>
          <w:p w14:paraId="5E92724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0.6652</w:t>
            </w:r>
          </w:p>
        </w:tc>
      </w:tr>
      <w:tr w14:paraId="61A8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B8C74CD">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0669D75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w:t>
            </w:r>
            <w:r>
              <w:rPr>
                <w:rFonts w:ascii="Times New Roman" w:hAnsi="Times New Roman"/>
                <w:color w:val="000000" w:themeColor="dark1"/>
                <w:kern w:val="24"/>
                <w:sz w:val="24"/>
                <w14:textFill>
                  <w14:solidFill>
                    <w14:schemeClr w14:val="dk1"/>
                  </w14:solidFill>
                </w14:textFill>
              </w:rPr>
              <w:t>545</w:t>
            </w:r>
          </w:p>
        </w:tc>
        <w:tc>
          <w:tcPr>
            <w:tcW w:w="780" w:type="pct"/>
            <w:vAlign w:val="bottom"/>
          </w:tcPr>
          <w:p w14:paraId="257793B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70</w:t>
            </w:r>
            <w:r>
              <w:rPr>
                <w:rFonts w:ascii="Times New Roman" w:hAnsi="Times New Roman"/>
                <w:color w:val="000000" w:themeColor="dark1"/>
                <w:kern w:val="24"/>
                <w:sz w:val="24"/>
                <w14:textFill>
                  <w14:solidFill>
                    <w14:schemeClr w14:val="dk1"/>
                  </w14:solidFill>
                </w14:textFill>
              </w:rPr>
              <w:t>68</w:t>
            </w:r>
          </w:p>
        </w:tc>
        <w:tc>
          <w:tcPr>
            <w:tcW w:w="780" w:type="pct"/>
            <w:vAlign w:val="bottom"/>
          </w:tcPr>
          <w:p w14:paraId="776A2B7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81</w:t>
            </w:r>
            <w:r>
              <w:rPr>
                <w:rFonts w:ascii="Times New Roman" w:hAnsi="Times New Roman"/>
                <w:color w:val="000000" w:themeColor="dark1"/>
                <w:kern w:val="24"/>
                <w:sz w:val="24"/>
                <w14:textFill>
                  <w14:solidFill>
                    <w14:schemeClr w14:val="dk1"/>
                  </w14:solidFill>
                </w14:textFill>
              </w:rPr>
              <w:t>83</w:t>
            </w:r>
          </w:p>
        </w:tc>
        <w:tc>
          <w:tcPr>
            <w:tcW w:w="778" w:type="pct"/>
            <w:vAlign w:val="bottom"/>
          </w:tcPr>
          <w:p w14:paraId="3F12749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0872</w:t>
            </w:r>
          </w:p>
        </w:tc>
        <w:tc>
          <w:tcPr>
            <w:tcW w:w="779" w:type="pct"/>
            <w:vAlign w:val="bottom"/>
          </w:tcPr>
          <w:p w14:paraId="420F57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3471</w:t>
            </w:r>
          </w:p>
        </w:tc>
      </w:tr>
      <w:tr w14:paraId="5A5C9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CDC4411">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tcPr>
          <w:p w14:paraId="492C0542">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0.7</w:t>
            </w:r>
            <w:r>
              <w:rPr>
                <w:rFonts w:hint="eastAsia" w:ascii="Times New Roman" w:hAnsi="Times New Roman"/>
                <w:b/>
                <w:bCs/>
                <w:color w:val="000000" w:themeColor="text1"/>
                <w:kern w:val="24"/>
                <w:sz w:val="24"/>
                <w14:textFill>
                  <w14:solidFill>
                    <w14:schemeClr w14:val="tx1"/>
                  </w14:solidFill>
                </w14:textFill>
              </w:rPr>
              <w:t>769</w:t>
            </w:r>
          </w:p>
        </w:tc>
        <w:tc>
          <w:tcPr>
            <w:tcW w:w="780" w:type="pct"/>
            <w:tcBorders>
              <w:bottom w:val="single" w:color="auto" w:sz="12" w:space="0"/>
            </w:tcBorders>
          </w:tcPr>
          <w:p w14:paraId="38D2A0F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7279</w:t>
            </w:r>
          </w:p>
        </w:tc>
        <w:tc>
          <w:tcPr>
            <w:tcW w:w="780" w:type="pct"/>
            <w:tcBorders>
              <w:bottom w:val="single" w:color="auto" w:sz="12" w:space="0"/>
            </w:tcBorders>
          </w:tcPr>
          <w:p w14:paraId="03755A4E">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8386</w:t>
            </w:r>
          </w:p>
        </w:tc>
        <w:tc>
          <w:tcPr>
            <w:tcW w:w="778" w:type="pct"/>
            <w:tcBorders>
              <w:bottom w:val="single" w:color="auto" w:sz="12" w:space="0"/>
            </w:tcBorders>
          </w:tcPr>
          <w:p w14:paraId="4816158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0744</w:t>
            </w:r>
          </w:p>
        </w:tc>
        <w:tc>
          <w:tcPr>
            <w:tcW w:w="779" w:type="pct"/>
            <w:tcBorders>
              <w:bottom w:val="single" w:color="auto" w:sz="12" w:space="0"/>
            </w:tcBorders>
          </w:tcPr>
          <w:p w14:paraId="12441EC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0.3</w:t>
            </w:r>
            <w:r>
              <w:rPr>
                <w:rFonts w:hint="eastAsia" w:ascii="Times New Roman" w:hAnsi="Times New Roman"/>
                <w:color w:val="000000" w:themeColor="text1"/>
                <w:kern w:val="24"/>
                <w:sz w:val="24"/>
                <w14:textFill>
                  <w14:solidFill>
                    <w14:schemeClr w14:val="tx1"/>
                  </w14:solidFill>
                </w14:textFill>
              </w:rPr>
              <w:t>437</w:t>
            </w:r>
            <w:r>
              <w:rPr>
                <w:rFonts w:ascii="Times New Roman" w:hAnsi="Times New Roman"/>
                <w:color w:val="000000" w:themeColor="text1"/>
                <w:kern w:val="24"/>
                <w:sz w:val="24"/>
                <w14:textFill>
                  <w14:solidFill>
                    <w14:schemeClr w14:val="tx1"/>
                  </w14:solidFill>
                </w14:textFill>
              </w:rPr>
              <w:t xml:space="preserve"> </w:t>
            </w:r>
          </w:p>
        </w:tc>
      </w:tr>
    </w:tbl>
    <w:p w14:paraId="3EDB3480">
      <w:pPr>
        <w:autoSpaceDE w:val="0"/>
        <w:autoSpaceDN w:val="0"/>
        <w:adjustRightInd w:val="0"/>
        <w:spacing w:before="120" w:line="360" w:lineRule="auto"/>
        <w:rPr>
          <w:rFonts w:ascii="Times New Roman" w:hAnsi="Times New Roman"/>
          <w:sz w:val="24"/>
        </w:rPr>
      </w:pPr>
      <w:r>
        <w:rPr>
          <w:rFonts w:hint="eastAsia" w:ascii="Times New Roman" w:hAnsi="Times New Roman"/>
          <w:sz w:val="24"/>
        </w:rPr>
        <w:t>息也会导致结果不同。而在</w:t>
      </w:r>
      <w:r>
        <w:rPr>
          <w:rFonts w:ascii="Times New Roman" w:hAnsi="Times New Roman"/>
          <w:sz w:val="24"/>
        </w:rPr>
        <w:t>ExSeq</w:t>
      </w:r>
      <w:r>
        <w:rPr>
          <w:rFonts w:hint="eastAsia" w:ascii="Times New Roman" w:hAnsi="Times New Roman"/>
          <w:sz w:val="24"/>
        </w:rPr>
        <w:t>数据集中，JSD指标有所提升，证明在少数基因特征的情况下，GCIRS的表现最好，然而在基因特征较多的情况下，Tangram和SpatialDWLS可以更好的实现数据映射，所以JSD指标更好。</w:t>
      </w:r>
    </w:p>
    <w:p w14:paraId="7A79DB2D">
      <w:pPr>
        <w:pStyle w:val="4"/>
        <w:spacing w:before="120" w:after="120" w:line="300" w:lineRule="auto"/>
        <w:jc w:val="left"/>
        <w:rPr>
          <w:rFonts w:hint="eastAsia" w:ascii="宋体" w:hAnsi="宋体" w:eastAsia="宋体"/>
        </w:rPr>
      </w:pPr>
      <w:bookmarkStart w:id="44" w:name="OLE_LINK69"/>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5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揭示小鼠大脑皮层的层状结构</w:t>
      </w:r>
      <w:bookmarkEnd w:id="44"/>
    </w:p>
    <w:p w14:paraId="1A6FD9F1">
      <w:pPr>
        <w:spacing w:line="360" w:lineRule="auto"/>
        <w:ind w:firstLine="480" w:firstLineChars="200"/>
        <w:rPr>
          <w:rFonts w:ascii="Times New Roman" w:hAnsi="Times New Roman"/>
          <w:sz w:val="24"/>
          <w:szCs w:val="32"/>
        </w:rPr>
      </w:pPr>
      <w:bookmarkStart w:id="45" w:name="OLE_LINK64"/>
      <w:r>
        <w:rPr>
          <w:rFonts w:hint="eastAsia" w:ascii="Times New Roman" w:hAnsi="Times New Roman"/>
          <w:sz w:val="24"/>
          <w:szCs w:val="32"/>
        </w:rPr>
        <w:t>为了进一步验证GCIRS在不同测序平台上的有效性，本课题将其应用于 10X Visium 技术生成的数据集，结果表明，GCIRS在揭示大脑皮层细胞类型和层次结构具有一定的准确性。</w:t>
      </w:r>
    </w:p>
    <w:p w14:paraId="2FDA54E5">
      <w:pPr>
        <w:spacing w:line="360" w:lineRule="auto"/>
        <w:ind w:firstLine="480" w:firstLineChars="200"/>
        <w:rPr>
          <w:rFonts w:ascii="Times New Roman" w:hAnsi="Times New Roman"/>
          <w:sz w:val="24"/>
          <w:szCs w:val="32"/>
        </w:rPr>
      </w:pPr>
      <w:r>
        <w:rPr>
          <w:rFonts w:hint="eastAsia" w:ascii="Times New Roman" w:hAnsi="Times New Roman"/>
          <w:sz w:val="24"/>
          <w:szCs w:val="32"/>
        </w:rPr>
        <w:t>大脑皮层具有清晰的层状结构，所以本课题采用了小鼠大脑皮层的切片。该切片包含 2696个spot，每个spot覆盖31053个基因。此外，使用了包含 28 种不同细胞亚型的高质量scRNA-seq 数据集作为参考。</w:t>
      </w:r>
    </w:p>
    <w:p w14:paraId="65F79F4B">
      <w:pPr>
        <w:spacing w:line="360" w:lineRule="auto"/>
        <w:ind w:firstLine="480" w:firstLineChars="200"/>
        <w:rPr>
          <w:rFonts w:ascii="Times New Roman" w:hAnsi="Times New Roman"/>
          <w:sz w:val="24"/>
          <w:szCs w:val="32"/>
        </w:rPr>
      </w:pPr>
      <w:r>
        <w:rPr>
          <w:rFonts w:ascii="Times New Roman" w:hAnsi="Times New Roman"/>
          <w:sz w:val="24"/>
          <w:szCs w:val="32"/>
        </w:rPr>
        <w:t>首先，</w:t>
      </w:r>
      <w:r>
        <w:rPr>
          <w:rFonts w:hint="eastAsia" w:ascii="Times New Roman" w:hAnsi="Times New Roman"/>
          <w:sz w:val="24"/>
          <w:szCs w:val="32"/>
        </w:rPr>
        <w:t>GCIRS推断</w:t>
      </w:r>
      <w:r>
        <w:rPr>
          <w:rFonts w:ascii="Times New Roman" w:hAnsi="Times New Roman"/>
          <w:sz w:val="24"/>
          <w:szCs w:val="32"/>
        </w:rPr>
        <w:t>了数据集中不同细胞类型的空间分布</w:t>
      </w:r>
      <w:r>
        <w:rPr>
          <w:rFonts w:hint="eastAsia" w:ascii="Times New Roman" w:hAnsi="Times New Roman"/>
          <w:sz w:val="24"/>
          <w:szCs w:val="32"/>
        </w:rPr>
        <w:t>，结果</w:t>
      </w:r>
      <w:r>
        <w:rPr>
          <w:rFonts w:ascii="Times New Roman" w:hAnsi="Times New Roman"/>
          <w:sz w:val="24"/>
          <w:szCs w:val="32"/>
        </w:rPr>
        <w:t>如图</w:t>
      </w:r>
      <w:r>
        <w:rPr>
          <w:rFonts w:hint="eastAsia" w:ascii="Times New Roman" w:hAnsi="Times New Roman"/>
          <w:sz w:val="24"/>
          <w:szCs w:val="32"/>
        </w:rPr>
        <w:t>2</w:t>
      </w:r>
      <w:r>
        <w:rPr>
          <w:rFonts w:ascii="Times New Roman" w:hAnsi="Times New Roman"/>
          <w:sz w:val="24"/>
          <w:szCs w:val="32"/>
        </w:rPr>
        <w:t>所示</w:t>
      </w:r>
      <w:r>
        <w:rPr>
          <w:rFonts w:hint="eastAsia" w:ascii="Times New Roman" w:hAnsi="Times New Roman"/>
          <w:sz w:val="24"/>
          <w:szCs w:val="32"/>
        </w:rPr>
        <w:t>。</w:t>
      </w:r>
      <w:bookmarkStart w:id="46" w:name="OLE_LINK66"/>
      <w:r>
        <w:rPr>
          <w:rFonts w:hint="eastAsia" w:ascii="Times New Roman" w:hAnsi="Times New Roman"/>
          <w:sz w:val="24"/>
          <w:szCs w:val="32"/>
        </w:rPr>
        <w:t>使用饼图表示了每个spot的异质细胞类型比例。在小鼠大脑组织中，可以观察到不同兴奋性神经元在特定的皮层中有空间受限表示，与以往的研究趋势结果一致。</w:t>
      </w:r>
      <w:r>
        <w:rPr>
          <w:rFonts w:ascii="Times New Roman" w:hAnsi="Times New Roman"/>
          <w:sz w:val="24"/>
          <w:szCs w:val="32"/>
        </w:rPr>
        <w:t xml:space="preserve"> </w:t>
      </w:r>
    </w:p>
    <w:p w14:paraId="67A6F2BC">
      <w:pPr>
        <w:spacing w:line="360" w:lineRule="auto"/>
        <w:ind w:firstLine="480" w:firstLineChars="200"/>
        <w:rPr>
          <w:rFonts w:ascii="Times New Roman" w:hAnsi="Times New Roman"/>
          <w:sz w:val="24"/>
          <w:szCs w:val="32"/>
        </w:rPr>
      </w:pPr>
      <w:r>
        <w:rPr>
          <w:rFonts w:hint="eastAsia" w:ascii="Times New Roman" w:hAnsi="Times New Roman"/>
          <w:sz w:val="24"/>
          <w:szCs w:val="32"/>
        </w:rPr>
        <w:t>此外，GCIRS提供了小鼠大脑每个区域的异质性信息，具体表现为，每个区域中每种细胞类型的富集与其确定的比例相关，例如，L2/3亚组富集在皮层的外部区域，</w:t>
      </w:r>
      <w:r>
        <w:rPr>
          <w:rFonts w:ascii="Times New Roman" w:hAnsi="Times New Roman"/>
          <w:sz w:val="24"/>
          <w:szCs w:val="32"/>
        </w:rPr>
        <w:t>L4 和 L5 等细胞类型主要位于皮层的外部和中间区域</w:t>
      </w:r>
      <w:r>
        <w:rPr>
          <w:rFonts w:hint="eastAsia" w:ascii="Times New Roman" w:hAnsi="Times New Roman"/>
          <w:sz w:val="24"/>
          <w:szCs w:val="32"/>
        </w:rPr>
        <w:t>，而包含L6b细胞比例较高的spot则表现在内皮层，这些发现结果与皮质组织的层状细胞结构一致。</w:t>
      </w:r>
    </w:p>
    <w:p w14:paraId="4D908BA7">
      <w:pPr>
        <w:spacing w:line="360" w:lineRule="auto"/>
        <w:jc w:val="center"/>
        <w:rPr>
          <w:rFonts w:ascii="Times New Roman" w:hAnsi="Times New Roman"/>
          <w:sz w:val="24"/>
          <w:szCs w:val="32"/>
        </w:rPr>
      </w:pPr>
      <w:r>
        <w:rPr>
          <w:rFonts w:hint="eastAsia" w:ascii="Times New Roman" w:hAnsi="Times New Roman"/>
          <w:sz w:val="24"/>
          <w:szCs w:val="32"/>
        </w:rPr>
        <w:drawing>
          <wp:inline distT="0" distB="0" distL="0" distR="0">
            <wp:extent cx="5057775" cy="4180840"/>
            <wp:effectExtent l="0" t="0" r="0" b="0"/>
            <wp:docPr id="20120134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3494"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060762" cy="4183409"/>
                    </a:xfrm>
                    <a:prstGeom prst="rect">
                      <a:avLst/>
                    </a:prstGeom>
                  </pic:spPr>
                </pic:pic>
              </a:graphicData>
            </a:graphic>
          </wp:inline>
        </w:drawing>
      </w:r>
    </w:p>
    <w:p w14:paraId="5D476525">
      <w:pPr>
        <w:spacing w:line="360" w:lineRule="auto"/>
        <w:jc w:val="left"/>
        <w:rPr>
          <w:rFonts w:ascii="Times New Roman" w:hAnsi="Times New Roman"/>
          <w:szCs w:val="21"/>
        </w:rPr>
      </w:pPr>
      <w:r>
        <w:rPr>
          <w:rFonts w:hint="eastAsia" w:ascii="Times New Roman" w:hAnsi="Times New Roman"/>
          <w:szCs w:val="21"/>
        </w:rPr>
        <w:t>图2 使用GCIRS分析小鼠大脑皮层组织。A：小鼠脑组织切片的图像。B：表示每个spot的细胞类型组成的饼图。C：GCIRS预测的6个层特异性神经元群的空间分布。</w:t>
      </w:r>
    </w:p>
    <w:p w14:paraId="0ABB051F">
      <w:pPr>
        <w:spacing w:line="360" w:lineRule="auto"/>
        <w:ind w:firstLine="480" w:firstLineChars="200"/>
        <w:rPr>
          <w:rFonts w:ascii="Times New Roman" w:hAnsi="Times New Roman"/>
          <w:sz w:val="24"/>
          <w:szCs w:val="32"/>
        </w:rPr>
      </w:pPr>
      <w:r>
        <w:rPr>
          <w:rFonts w:hint="eastAsia" w:ascii="Times New Roman" w:hAnsi="Times New Roman"/>
          <w:sz w:val="24"/>
          <w:szCs w:val="32"/>
        </w:rPr>
        <w:t>综上所述，通过对小鼠大脑皮层数据的分析，</w:t>
      </w:r>
      <w:r>
        <w:rPr>
          <w:rFonts w:ascii="Times New Roman" w:hAnsi="Times New Roman"/>
          <w:sz w:val="24"/>
          <w:szCs w:val="32"/>
        </w:rPr>
        <w:t>证明了</w:t>
      </w:r>
      <w:r>
        <w:rPr>
          <w:rFonts w:hint="eastAsia" w:ascii="Times New Roman" w:hAnsi="Times New Roman"/>
          <w:sz w:val="24"/>
          <w:szCs w:val="32"/>
        </w:rPr>
        <w:t>GCIRS</w:t>
      </w:r>
      <w:r>
        <w:rPr>
          <w:rFonts w:ascii="Times New Roman" w:hAnsi="Times New Roman"/>
          <w:sz w:val="24"/>
          <w:szCs w:val="32"/>
        </w:rPr>
        <w:t>在分析</w:t>
      </w:r>
      <w:r>
        <w:rPr>
          <w:rFonts w:hint="eastAsia" w:ascii="Times New Roman" w:hAnsi="Times New Roman"/>
          <w:sz w:val="24"/>
          <w:szCs w:val="32"/>
        </w:rPr>
        <w:t>空间转录组学</w:t>
      </w:r>
      <w:r>
        <w:rPr>
          <w:rFonts w:ascii="Times New Roman" w:hAnsi="Times New Roman"/>
          <w:sz w:val="24"/>
          <w:szCs w:val="32"/>
        </w:rPr>
        <w:t>数据方面的优越性，因为它不仅准确地重建了细胞的空间分布，还为后续的功能分析提供了坚实的基础</w:t>
      </w:r>
      <w:bookmarkEnd w:id="46"/>
      <w:bookmarkStart w:id="47" w:name="OLE_LINK67"/>
      <w:r>
        <w:rPr>
          <w:rFonts w:hint="eastAsia" w:ascii="Times New Roman" w:hAnsi="Times New Roman"/>
          <w:sz w:val="24"/>
          <w:szCs w:val="32"/>
        </w:rPr>
        <w:t>。</w:t>
      </w:r>
    </w:p>
    <w:p w14:paraId="1871BECB">
      <w:pPr>
        <w:pStyle w:val="4"/>
        <w:spacing w:before="120" w:after="120" w:line="300" w:lineRule="auto"/>
        <w:jc w:val="left"/>
        <w:rPr>
          <w:rFonts w:hint="eastAsia" w:ascii="宋体" w:hAnsi="宋体" w:eastAsia="宋体"/>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6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表征</w:t>
      </w:r>
      <w:bookmarkStart w:id="48" w:name="OLE_LINK9"/>
      <w:r>
        <w:rPr>
          <w:rFonts w:hint="eastAsia" w:ascii="宋体" w:hAnsi="宋体" w:eastAsia="宋体" w:cs="宋体"/>
          <w:b w:val="0"/>
          <w:bCs w:val="0"/>
          <w:sz w:val="24"/>
          <w:szCs w:val="24"/>
          <w:lang w:bidi="ar"/>
        </w:rPr>
        <w:t>人胰腺导管腺癌</w:t>
      </w:r>
      <w:bookmarkEnd w:id="48"/>
      <w:r>
        <w:rPr>
          <w:rFonts w:hint="eastAsia" w:ascii="宋体" w:hAnsi="宋体" w:eastAsia="宋体" w:cs="宋体"/>
          <w:b w:val="0"/>
          <w:bCs w:val="0"/>
          <w:sz w:val="24"/>
          <w:szCs w:val="24"/>
          <w:lang w:bidi="ar"/>
        </w:rPr>
        <w:t>中肿瘤细胞的分布</w:t>
      </w:r>
    </w:p>
    <w:p w14:paraId="383FB64F">
      <w:pPr>
        <w:spacing w:line="360" w:lineRule="auto"/>
        <w:ind w:firstLine="480" w:firstLineChars="200"/>
        <w:rPr>
          <w:rFonts w:ascii="Times New Roman" w:hAnsi="Times New Roman"/>
          <w:sz w:val="24"/>
          <w:szCs w:val="32"/>
        </w:rPr>
      </w:pPr>
      <w:r>
        <w:rPr>
          <w:rFonts w:hint="eastAsia" w:ascii="Times New Roman" w:hAnsi="Times New Roman"/>
          <w:sz w:val="24"/>
          <w:szCs w:val="32"/>
        </w:rPr>
        <w:t>为了评估GCIRS在真实空间转录组学数据的性能，本课题将其应用于ST技术生成的人胰腺导管腺癌数据集，结果表明GCIRS预测的细胞类型和空间分布符合以往研究中人胰腺导管腺癌组织中细胞的分布趋势。</w:t>
      </w:r>
    </w:p>
    <w:p w14:paraId="792A4203">
      <w:pPr>
        <w:spacing w:line="360" w:lineRule="auto"/>
        <w:ind w:firstLine="480" w:firstLineChars="200"/>
        <w:rPr>
          <w:rFonts w:ascii="Times New Roman" w:hAnsi="Times New Roman"/>
          <w:sz w:val="24"/>
          <w:szCs w:val="32"/>
        </w:rPr>
      </w:pPr>
      <w:r>
        <w:rPr>
          <w:rFonts w:hint="eastAsia" w:ascii="Times New Roman" w:hAnsi="Times New Roman"/>
          <w:sz w:val="24"/>
          <w:szCs w:val="32"/>
        </w:rPr>
        <w:t>该数据集组织有四个主要区域：癌症、导管上皮、基质和胰腺。如图3所示，利用scRNA-seq数据作为参考，绘制了人胰腺导管腺癌组织的空间分布模式图。</w:t>
      </w:r>
    </w:p>
    <w:p w14:paraId="1FD35CE0">
      <w:pPr>
        <w:spacing w:line="360" w:lineRule="auto"/>
        <w:jc w:val="center"/>
        <w:rPr>
          <w:rFonts w:ascii="Times New Roman" w:hAnsi="Times New Roman"/>
          <w:sz w:val="24"/>
          <w:szCs w:val="32"/>
        </w:rPr>
      </w:pPr>
      <w:r>
        <w:rPr>
          <w:rFonts w:ascii="Times New Roman" w:hAnsi="Times New Roman"/>
          <w:sz w:val="24"/>
          <w:szCs w:val="32"/>
        </w:rPr>
        <w:drawing>
          <wp:inline distT="0" distB="0" distL="0" distR="0">
            <wp:extent cx="4992370" cy="6350000"/>
            <wp:effectExtent l="0" t="0" r="0" b="0"/>
            <wp:docPr id="4275496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49649" name="图片 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995211" cy="6353990"/>
                    </a:xfrm>
                    <a:prstGeom prst="rect">
                      <a:avLst/>
                    </a:prstGeom>
                  </pic:spPr>
                </pic:pic>
              </a:graphicData>
            </a:graphic>
          </wp:inline>
        </w:drawing>
      </w:r>
    </w:p>
    <w:p w14:paraId="41059F91">
      <w:pPr>
        <w:spacing w:line="360" w:lineRule="auto"/>
        <w:rPr>
          <w:rFonts w:ascii="Times New Roman" w:hAnsi="Times New Roman"/>
          <w:szCs w:val="21"/>
        </w:rPr>
      </w:pPr>
      <w:r>
        <w:rPr>
          <w:rFonts w:hint="eastAsia" w:ascii="Times New Roman" w:hAnsi="Times New Roman"/>
          <w:szCs w:val="21"/>
        </w:rPr>
        <w:t>图3 使用GCIRS分析人胰腺导管腺癌。A：人胰腺导管腺癌数据集的手动注释。B：表示每个spot的细胞类型组成的饼图。C：顶部：GCIRS预测的特定细胞类型的比例。下图：这些细胞类型的相应标记基因的空间分布。D：基于GCIRS推断的细胞类型比例的空间区域聚类结果。E：癌变区域与非癌性区域四种细胞类型丰度的比较分析</w:t>
      </w:r>
      <w:r>
        <w:rPr>
          <w:rFonts w:ascii="Times New Roman" w:hAnsi="Times New Roman"/>
          <w:szCs w:val="21"/>
        </w:rPr>
        <w:t xml:space="preserve"> </w:t>
      </w:r>
    </w:p>
    <w:p w14:paraId="658119C5">
      <w:pPr>
        <w:spacing w:line="360" w:lineRule="auto"/>
        <w:rPr>
          <w:rFonts w:ascii="Times New Roman" w:hAnsi="Times New Roman"/>
          <w:szCs w:val="21"/>
        </w:rPr>
      </w:pPr>
    </w:p>
    <w:p w14:paraId="316959AE">
      <w:pPr>
        <w:spacing w:line="360" w:lineRule="auto"/>
        <w:ind w:firstLine="480" w:firstLineChars="200"/>
        <w:rPr>
          <w:rFonts w:ascii="Times New Roman" w:hAnsi="Times New Roman"/>
          <w:sz w:val="24"/>
        </w:rPr>
      </w:pPr>
      <w:r>
        <w:rPr>
          <w:rFonts w:hint="eastAsia" w:ascii="Times New Roman" w:hAnsi="Times New Roman"/>
          <w:sz w:val="24"/>
          <w:szCs w:val="32"/>
        </w:rPr>
        <w:t>图3B饼图显示了每个spot的细胞组成比例，GCIRS预测了导管细胞主要位于该部分的左侧，而癌细胞主要位于右上角，这与基本事实一致。值得注意的是，巨噬细胞极少数分布在癌细胞附近，这种分布与之前观察到的巨噬细胞在肿瘤周围形成空间屏障一致，而且会诱导上皮-间质转化程序促进细胞侵蚀，增强调节T细胞的反应，从而保护肿瘤细胞免受CD8+T细胞的攻击。肿瘤相关巨噬细胞的这种空间异质性会影响肿瘤的免疫监视和免疫逃逸策略，为未来</w:t>
      </w:r>
      <w:r>
        <w:rPr>
          <w:rFonts w:ascii="Times New Roman" w:hAnsi="Times New Roman"/>
          <w:sz w:val="24"/>
        </w:rPr>
        <w:t>胰腺导管腺癌</w:t>
      </w:r>
      <w:r>
        <w:rPr>
          <w:rFonts w:hint="eastAsia" w:ascii="Times New Roman" w:hAnsi="Times New Roman"/>
          <w:sz w:val="24"/>
        </w:rPr>
        <w:t>的治疗策略提高了信息。</w:t>
      </w:r>
    </w:p>
    <w:p w14:paraId="7BB4EEC8">
      <w:pPr>
        <w:spacing w:line="360" w:lineRule="auto"/>
        <w:ind w:firstLine="480" w:firstLineChars="200"/>
        <w:rPr>
          <w:rFonts w:ascii="Times New Roman" w:hAnsi="Times New Roman"/>
          <w:sz w:val="24"/>
        </w:rPr>
      </w:pPr>
      <w:r>
        <w:rPr>
          <w:rFonts w:hint="eastAsia" w:ascii="Times New Roman" w:hAnsi="Times New Roman"/>
          <w:sz w:val="24"/>
        </w:rPr>
        <w:t>此外，观察到GCIRS鉴别的细胞类型的空间分布与标记基因的空间表达模式非常匹配，例如，图3C中富含癌细胞的标志物基因TM4SF1和S100A4的区域与癌克隆A和B的分布一致，CRISP3是一种富含半胱氨酸的分泌蛋白。同样，腺泡细胞主要位于胰腺区域，对应于其标记基因 PRSS1 的空间表达。此外，GCIRS准确识别不同区域癌细胞的丰度。在图3E，癌变区域癌症克隆 A 和 B 的富集度显著高于其他区域。相比之下，癌变区域其他细胞类型的富集，例如表达 APOL1 的导管上皮细胞和成纤维细胞，与其他区域的富集没有显着差异。</w:t>
      </w:r>
    </w:p>
    <w:p w14:paraId="7CDFAE56">
      <w:pPr>
        <w:spacing w:line="360" w:lineRule="auto"/>
        <w:ind w:firstLine="480" w:firstLineChars="200"/>
        <w:rPr>
          <w:rFonts w:ascii="Times New Roman" w:hAnsi="Times New Roman"/>
          <w:sz w:val="24"/>
        </w:rPr>
      </w:pPr>
      <w:r>
        <w:rPr>
          <w:rFonts w:hint="eastAsia" w:ascii="Times New Roman" w:hAnsi="Times New Roman"/>
          <w:sz w:val="24"/>
        </w:rPr>
        <w:t>为了评估空间细胞组成推断的准确性，在图3D中将推断的细胞组成进行了聚类，结果显示与原始聚类结果图3A趋势一致，进一步证明了GCIRS方法的准确性。</w:t>
      </w:r>
    </w:p>
    <w:bookmarkEnd w:id="45"/>
    <w:bookmarkEnd w:id="47"/>
    <w:p w14:paraId="43C01C2D">
      <w:pPr>
        <w:keepNext/>
        <w:keepLines/>
        <w:spacing w:before="120" w:after="120" w:line="300" w:lineRule="auto"/>
        <w:outlineLvl w:val="2"/>
        <w:rPr>
          <w:rFonts w:hint="eastAsia" w:ascii="宋体" w:hAnsi="宋体"/>
          <w:b/>
          <w:bCs/>
          <w:sz w:val="28"/>
          <w:szCs w:val="28"/>
        </w:rPr>
      </w:pPr>
      <w:r>
        <w:rPr>
          <w:rFonts w:hint="eastAsia" w:ascii="宋体" w:hAnsi="宋体"/>
          <w:b/>
          <w:bCs/>
          <w:sz w:val="28"/>
          <w:szCs w:val="28"/>
        </w:rPr>
        <w:t>3</w:t>
      </w:r>
      <w:r>
        <w:rPr>
          <w:rFonts w:ascii="宋体" w:hAnsi="宋体"/>
          <w:b/>
          <w:bCs/>
          <w:sz w:val="28"/>
          <w:szCs w:val="28"/>
        </w:rPr>
        <w:t>.2.</w:t>
      </w:r>
      <w:r>
        <w:rPr>
          <w:rFonts w:hint="eastAsia" w:ascii="宋体" w:hAnsi="宋体"/>
          <w:b/>
          <w:bCs/>
          <w:sz w:val="28"/>
          <w:szCs w:val="28"/>
        </w:rPr>
        <w:t>2课题阶段性成果</w:t>
      </w:r>
    </w:p>
    <w:p w14:paraId="3C05C0BE">
      <w:pPr>
        <w:spacing w:line="360" w:lineRule="auto"/>
        <w:rPr>
          <w:sz w:val="24"/>
          <w:szCs w:val="32"/>
        </w:rPr>
      </w:pPr>
      <w:r>
        <w:tab/>
      </w:r>
      <w:bookmarkStart w:id="49" w:name="OLE_LINK65"/>
      <w:r>
        <w:rPr>
          <w:rFonts w:hint="eastAsia" w:ascii="Times New Roman" w:hAnsi="Times New Roman"/>
          <w:sz w:val="24"/>
          <w:szCs w:val="32"/>
        </w:rPr>
        <w:t>完成小论文</w:t>
      </w:r>
      <w:r>
        <w:rPr>
          <w:rFonts w:ascii="Times New Roman" w:hAnsi="Times New Roman"/>
          <w:sz w:val="24"/>
        </w:rPr>
        <w:t>《</w:t>
      </w:r>
      <w:bookmarkStart w:id="50" w:name="OLE_LINK6"/>
      <w:r>
        <w:rPr>
          <w:rFonts w:ascii="Times New Roman" w:hAnsi="Times New Roman"/>
          <w:sz w:val="24"/>
        </w:rPr>
        <w:t>Graph contrastive learning-based inference of spatial cell composition from integrated scRNA-seq and spatial transcriptomics data</w:t>
      </w:r>
      <w:bookmarkEnd w:id="50"/>
      <w:r>
        <w:rPr>
          <w:rFonts w:ascii="Times New Roman" w:hAnsi="Times New Roman"/>
          <w:sz w:val="24"/>
        </w:rPr>
        <w:t>》</w:t>
      </w:r>
      <w:r>
        <w:rPr>
          <w:rFonts w:hint="eastAsia" w:ascii="Times New Roman" w:hAnsi="Times New Roman"/>
          <w:sz w:val="24"/>
          <w:szCs w:val="32"/>
        </w:rPr>
        <w:t>，投稿至《Genome Biology》。</w:t>
      </w:r>
    </w:p>
    <w:bookmarkEnd w:id="49"/>
    <w:p w14:paraId="43BFFD0F">
      <w:pPr>
        <w:spacing w:line="360" w:lineRule="auto"/>
        <w:outlineLvl w:val="0"/>
        <w:rPr>
          <w:rFonts w:hint="eastAsia" w:ascii="黑体" w:hAnsi="黑体" w:eastAsia="黑体"/>
          <w:sz w:val="36"/>
          <w:szCs w:val="36"/>
        </w:rPr>
      </w:pPr>
      <w:r>
        <w:rPr>
          <w:rFonts w:ascii="黑体" w:hAnsi="黑体" w:eastAsia="黑体"/>
          <w:sz w:val="36"/>
          <w:szCs w:val="36"/>
        </w:rPr>
        <w:t>四、存在的主要问题和后续工作思路</w:t>
      </w:r>
    </w:p>
    <w:p w14:paraId="375BFF97">
      <w:pPr>
        <w:spacing w:before="240" w:after="240" w:line="360" w:lineRule="auto"/>
        <w:outlineLvl w:val="1"/>
        <w:rPr>
          <w:rFonts w:hint="eastAsia" w:ascii="黑体" w:hAnsi="黑体" w:eastAsia="黑体"/>
          <w:sz w:val="32"/>
          <w:szCs w:val="32"/>
        </w:rPr>
      </w:pPr>
      <w:r>
        <w:rPr>
          <w:rFonts w:ascii="黑体" w:hAnsi="黑体" w:eastAsia="黑体"/>
          <w:sz w:val="32"/>
          <w:szCs w:val="32"/>
        </w:rPr>
        <w:t>4.</w:t>
      </w:r>
      <w:r>
        <w:rPr>
          <w:rFonts w:hint="eastAsia" w:ascii="黑体" w:hAnsi="黑体" w:eastAsia="黑体"/>
          <w:sz w:val="32"/>
          <w:szCs w:val="32"/>
        </w:rPr>
        <w:t xml:space="preserve">1 </w:t>
      </w:r>
      <w:r>
        <w:rPr>
          <w:rFonts w:ascii="黑体" w:hAnsi="黑体" w:eastAsia="黑体"/>
          <w:sz w:val="32"/>
          <w:szCs w:val="32"/>
        </w:rPr>
        <w:t>研究中存在的主要问题</w:t>
      </w:r>
    </w:p>
    <w:p w14:paraId="5F692735">
      <w:pPr>
        <w:spacing w:line="360" w:lineRule="auto"/>
        <w:rPr>
          <w:rFonts w:ascii="Times New Roman" w:hAnsi="Times New Roman"/>
          <w:sz w:val="24"/>
        </w:rPr>
      </w:pPr>
      <w:r>
        <w:tab/>
      </w:r>
      <w:r>
        <w:rPr>
          <w:rFonts w:hint="eastAsia" w:ascii="Times New Roman" w:hAnsi="Times New Roman"/>
          <w:sz w:val="24"/>
        </w:rPr>
        <w:t>在空间转录组学数中还可能存在许多稀有细胞，但是本课题在预处理和构图时，都更偏向于选择数量较多的细胞以进行细胞组成预测的参考信息，一些有价值的稀有细胞可能无法被发现，没有充分获取其潜在信息，后续还需要用其他方式保留细胞的特异性信息。</w:t>
      </w:r>
    </w:p>
    <w:p w14:paraId="601216E9">
      <w:pPr>
        <w:spacing w:before="240" w:after="240" w:line="360" w:lineRule="auto"/>
        <w:outlineLvl w:val="1"/>
        <w:rPr>
          <w:rFonts w:hint="eastAsia" w:ascii="黑体" w:hAnsi="黑体" w:eastAsia="黑体"/>
          <w:sz w:val="32"/>
          <w:szCs w:val="32"/>
        </w:rPr>
      </w:pPr>
      <w:r>
        <w:rPr>
          <w:rFonts w:ascii="黑体" w:hAnsi="黑体" w:eastAsia="黑体"/>
          <w:sz w:val="32"/>
          <w:szCs w:val="32"/>
        </w:rPr>
        <w:t>4.2</w:t>
      </w:r>
      <w:r>
        <w:rPr>
          <w:rFonts w:hint="eastAsia" w:ascii="黑体" w:hAnsi="黑体" w:eastAsia="黑体"/>
          <w:sz w:val="32"/>
          <w:szCs w:val="32"/>
        </w:rPr>
        <w:t xml:space="preserve"> </w:t>
      </w:r>
      <w:r>
        <w:rPr>
          <w:rFonts w:ascii="黑体" w:hAnsi="黑体" w:eastAsia="黑体"/>
          <w:sz w:val="32"/>
          <w:szCs w:val="32"/>
        </w:rPr>
        <w:t>后续工作思路</w:t>
      </w:r>
    </w:p>
    <w:p w14:paraId="3105CFBF">
      <w:pPr>
        <w:spacing w:line="360" w:lineRule="auto"/>
        <w:ind w:firstLine="480" w:firstLineChars="200"/>
        <w:rPr>
          <w:rFonts w:ascii="Times New Roman" w:hAnsi="Times New Roman"/>
          <w:sz w:val="24"/>
        </w:rPr>
      </w:pPr>
      <w:r>
        <w:rPr>
          <w:rFonts w:hint="eastAsia" w:ascii="Times New Roman" w:hAnsi="Times New Roman"/>
          <w:sz w:val="24"/>
        </w:rPr>
        <w:t>后续工作会考虑能够保留数据更多的稀有信息的方法，挖掘出细胞的特异性特征，根据稀有细胞的特异性信息，预测出spot中存在数量少，但是有价值的细胞。在构造图时，虽然选取了中间节点挖掘了更多的潜在信息，但是这种只根据特征信息的构图方式，并不能保证所有潜在信息特别是特异性信息的挖掘，所以还需要加入更多的关系特征以构造出保留多样化信息的图，增强图的特征表示能力，提高细胞组成预测的精度。</w:t>
      </w:r>
    </w:p>
    <w:p w14:paraId="46FFA9D4">
      <w:pPr>
        <w:spacing w:line="360" w:lineRule="auto"/>
        <w:outlineLvl w:val="0"/>
        <w:rPr>
          <w:rFonts w:hint="eastAsia" w:ascii="黑体" w:hAnsi="黑体" w:eastAsia="黑体"/>
          <w:sz w:val="36"/>
          <w:szCs w:val="36"/>
        </w:rPr>
      </w:pPr>
      <w:r>
        <w:rPr>
          <w:rFonts w:ascii="黑体" w:hAnsi="黑体" w:eastAsia="黑体"/>
          <w:sz w:val="36"/>
          <w:szCs w:val="36"/>
        </w:rPr>
        <w:t>五、预期目标与下一步工作计划</w:t>
      </w:r>
    </w:p>
    <w:p w14:paraId="592302E1">
      <w:pPr>
        <w:spacing w:before="240" w:after="240" w:line="360" w:lineRule="auto"/>
        <w:outlineLvl w:val="1"/>
        <w:rPr>
          <w:rFonts w:hint="eastAsia" w:ascii="黑体" w:hAnsi="黑体" w:eastAsia="黑体"/>
          <w:sz w:val="32"/>
          <w:szCs w:val="32"/>
        </w:rPr>
      </w:pPr>
      <w:r>
        <w:rPr>
          <w:rFonts w:ascii="黑体" w:hAnsi="黑体" w:eastAsia="黑体"/>
          <w:sz w:val="32"/>
          <w:szCs w:val="32"/>
        </w:rPr>
        <w:t>5.1</w:t>
      </w:r>
      <w:r>
        <w:rPr>
          <w:rFonts w:hint="eastAsia" w:ascii="黑体" w:hAnsi="黑体" w:eastAsia="黑体"/>
          <w:sz w:val="32"/>
          <w:szCs w:val="32"/>
        </w:rPr>
        <w:t xml:space="preserve"> </w:t>
      </w:r>
      <w:r>
        <w:rPr>
          <w:rFonts w:ascii="黑体" w:hAnsi="黑体" w:eastAsia="黑体"/>
          <w:sz w:val="32"/>
          <w:szCs w:val="32"/>
        </w:rPr>
        <w:t>预期目标</w:t>
      </w:r>
    </w:p>
    <w:p w14:paraId="2F325BEA">
      <w:pPr>
        <w:spacing w:line="360" w:lineRule="auto"/>
        <w:ind w:firstLine="480" w:firstLineChars="200"/>
        <w:rPr>
          <w:rFonts w:ascii="Times New Roman" w:hAnsi="Times New Roman"/>
          <w:sz w:val="24"/>
        </w:rPr>
      </w:pPr>
      <w:r>
        <w:rPr>
          <w:rFonts w:hint="eastAsia" w:ascii="Times New Roman" w:hAnsi="Times New Roman"/>
          <w:sz w:val="24"/>
        </w:rPr>
        <w:t>针对以上研究中存在的问题，下一步研究将尝试如何可以从特征表达中保留特异性信息，筛选细胞的特有信息以预测出稀有细胞。还有考虑加入数据的空间信息和特征信息进行多样化的构图，以得到存储更多信息的图，进一步挖掘出图学习过程中的一致性信息和特异性信息，提高细胞组成的推断能力。</w:t>
      </w:r>
    </w:p>
    <w:p w14:paraId="39FCE23F">
      <w:pPr>
        <w:spacing w:before="240" w:after="240" w:line="360" w:lineRule="auto"/>
        <w:outlineLvl w:val="1"/>
        <w:rPr>
          <w:rFonts w:hint="eastAsia" w:ascii="黑体" w:hAnsi="黑体" w:eastAsia="黑体"/>
          <w:sz w:val="32"/>
          <w:szCs w:val="32"/>
        </w:rPr>
      </w:pPr>
      <w:r>
        <w:rPr>
          <w:rFonts w:ascii="黑体" w:hAnsi="黑体" w:eastAsia="黑体"/>
          <w:sz w:val="32"/>
          <w:szCs w:val="32"/>
        </w:rPr>
        <w:t>5.2</w:t>
      </w:r>
      <w:r>
        <w:rPr>
          <w:rFonts w:hint="eastAsia" w:ascii="黑体" w:hAnsi="黑体" w:eastAsia="黑体"/>
          <w:sz w:val="32"/>
          <w:szCs w:val="32"/>
        </w:rPr>
        <w:t xml:space="preserve"> </w:t>
      </w:r>
      <w:r>
        <w:rPr>
          <w:rFonts w:ascii="黑体" w:hAnsi="黑体" w:eastAsia="黑体"/>
          <w:sz w:val="32"/>
          <w:szCs w:val="32"/>
        </w:rPr>
        <w:t>下一步工作安排</w:t>
      </w:r>
    </w:p>
    <w:p w14:paraId="3580543E">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年7月-202</w:t>
      </w:r>
      <w:r>
        <w:rPr>
          <w:rFonts w:hint="eastAsia" w:ascii="Times New Roman" w:hAnsi="Times New Roman"/>
          <w:sz w:val="24"/>
        </w:rPr>
        <w:t>5</w:t>
      </w:r>
      <w:r>
        <w:rPr>
          <w:rFonts w:ascii="Times New Roman" w:hAnsi="Times New Roman"/>
          <w:sz w:val="24"/>
        </w:rPr>
        <w:t>年11月：</w:t>
      </w:r>
      <w:r>
        <w:rPr>
          <w:rFonts w:hint="eastAsia" w:ascii="Times New Roman" w:hAnsi="Times New Roman"/>
          <w:sz w:val="24"/>
        </w:rPr>
        <w:t>改进数据特征的筛选方式，提取出稀有细胞的特征信息，融合空间信息和特征信息进行构图，融合学习节点间的多样化信息。</w:t>
      </w:r>
    </w:p>
    <w:p w14:paraId="172CA1B2">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年12月-202</w:t>
      </w:r>
      <w:r>
        <w:rPr>
          <w:rFonts w:hint="eastAsia" w:ascii="Times New Roman" w:hAnsi="Times New Roman"/>
          <w:sz w:val="24"/>
        </w:rPr>
        <w:t>6</w:t>
      </w:r>
      <w:r>
        <w:rPr>
          <w:rFonts w:ascii="Times New Roman" w:hAnsi="Times New Roman"/>
          <w:sz w:val="24"/>
        </w:rPr>
        <w:t>年3月：对于模型进行优化及改进，同时撰写完成大论文。</w:t>
      </w:r>
    </w:p>
    <w:p w14:paraId="2643F4F8">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6</w:t>
      </w:r>
      <w:r>
        <w:rPr>
          <w:rFonts w:ascii="Times New Roman" w:hAnsi="Times New Roman"/>
          <w:sz w:val="24"/>
        </w:rPr>
        <w:t>年3月-202</w:t>
      </w:r>
      <w:r>
        <w:rPr>
          <w:rFonts w:hint="eastAsia" w:ascii="Times New Roman" w:hAnsi="Times New Roman"/>
          <w:sz w:val="24"/>
        </w:rPr>
        <w:t>6</w:t>
      </w:r>
      <w:r>
        <w:rPr>
          <w:rFonts w:ascii="Times New Roman" w:hAnsi="Times New Roman"/>
          <w:sz w:val="24"/>
        </w:rPr>
        <w:t>年5月：总结课题研究成果，补充相关细节，完善实验，对大论文内容进行修正，准备毕业答辩。</w:t>
      </w:r>
    </w:p>
    <w:p w14:paraId="181996A1">
      <w:pPr>
        <w:spacing w:line="360" w:lineRule="auto"/>
        <w:outlineLvl w:val="0"/>
        <w:rPr>
          <w:rFonts w:hint="eastAsia" w:ascii="黑体" w:hAnsi="黑体" w:eastAsia="黑体"/>
          <w:sz w:val="36"/>
          <w:szCs w:val="36"/>
        </w:rPr>
      </w:pPr>
      <w:r>
        <w:rPr>
          <w:rFonts w:ascii="黑体" w:hAnsi="黑体" w:eastAsia="黑体"/>
          <w:sz w:val="36"/>
          <w:szCs w:val="36"/>
        </w:rPr>
        <w:t>参考文献</w:t>
      </w:r>
    </w:p>
    <w:p w14:paraId="28B44B5F">
      <w:pPr>
        <w:pStyle w:val="30"/>
        <w:numPr>
          <w:ilvl w:val="0"/>
          <w:numId w:val="3"/>
        </w:numPr>
        <w:spacing w:line="300" w:lineRule="auto"/>
        <w:ind w:left="442" w:hanging="442" w:firstLineChars="0"/>
        <w:rPr>
          <w:rFonts w:ascii="Times New Roman" w:hAnsi="Times New Roman"/>
          <w:bCs/>
          <w:sz w:val="21"/>
        </w:rPr>
      </w:pPr>
      <w:bookmarkStart w:id="51" w:name="_Ref202171468"/>
      <w:bookmarkStart w:id="52" w:name="_Ref201802729"/>
      <w:bookmarkStart w:id="53" w:name="_Ref201802044"/>
      <w:bookmarkStart w:id="54" w:name="_Hlk201862188"/>
      <w:r>
        <w:rPr>
          <w:rFonts w:ascii="Times New Roman" w:hAnsi="Times New Roman"/>
          <w:bCs/>
          <w:sz w:val="21"/>
        </w:rPr>
        <w:t>Eng C L, Lawson M, Zhu Q, et al. Transcriptome-scale super-resolved imaging in tissues by RNA seqFISH[J]. Nature, 2019, 568(7751): 235–239.</w:t>
      </w:r>
      <w:bookmarkEnd w:id="51"/>
    </w:p>
    <w:p w14:paraId="27BC4DC9">
      <w:pPr>
        <w:pStyle w:val="30"/>
        <w:numPr>
          <w:ilvl w:val="0"/>
          <w:numId w:val="3"/>
        </w:numPr>
        <w:spacing w:line="300" w:lineRule="auto"/>
        <w:ind w:left="442" w:hanging="442" w:firstLineChars="0"/>
        <w:rPr>
          <w:rFonts w:ascii="Times New Roman" w:hAnsi="Times New Roman"/>
          <w:bCs/>
          <w:sz w:val="21"/>
        </w:rPr>
      </w:pPr>
      <w:bookmarkStart w:id="55" w:name="_Ref202901679"/>
      <w:r>
        <w:rPr>
          <w:rFonts w:ascii="Times New Roman" w:hAnsi="Times New Roman"/>
          <w:bCs/>
          <w:sz w:val="21"/>
        </w:rPr>
        <w:t>Merritt C R, Ong G T, Church S E, et al. Multiplex digital spatial profiling of proteins and RNA in fixed tissue[J]. Nature Biotechnology, 2020, 38(5): 586–</w:t>
      </w:r>
      <w:r>
        <w:rPr>
          <w:rFonts w:hint="eastAsia" w:ascii="Times New Roman" w:hAnsi="Times New Roman"/>
          <w:bCs/>
          <w:sz w:val="21"/>
        </w:rPr>
        <w:t>5</w:t>
      </w:r>
      <w:r>
        <w:rPr>
          <w:rFonts w:ascii="Times New Roman" w:hAnsi="Times New Roman"/>
          <w:bCs/>
          <w:sz w:val="21"/>
        </w:rPr>
        <w:t>99.</w:t>
      </w:r>
      <w:bookmarkEnd w:id="55"/>
    </w:p>
    <w:p w14:paraId="7E00DC6D">
      <w:pPr>
        <w:pStyle w:val="30"/>
        <w:numPr>
          <w:ilvl w:val="0"/>
          <w:numId w:val="3"/>
        </w:numPr>
        <w:spacing w:line="300" w:lineRule="auto"/>
        <w:ind w:left="442" w:hanging="442" w:firstLineChars="0"/>
        <w:rPr>
          <w:rFonts w:ascii="Times New Roman" w:hAnsi="Times New Roman"/>
          <w:bCs/>
          <w:sz w:val="21"/>
        </w:rPr>
      </w:pPr>
      <w:bookmarkStart w:id="56" w:name="_Ref202901681"/>
      <w:r>
        <w:rPr>
          <w:rFonts w:ascii="Times New Roman" w:hAnsi="Times New Roman"/>
          <w:bCs/>
          <w:sz w:val="21"/>
        </w:rPr>
        <w:t>Rodriques S G, Stickels R R, Goeva A, et al. Slide-seq: a scalable technology for measuring genome-wide expression at high spatial resolution[J]. Science, 2019, 363(6434): 1463–</w:t>
      </w:r>
      <w:r>
        <w:rPr>
          <w:rFonts w:hint="eastAsia" w:ascii="Times New Roman" w:hAnsi="Times New Roman"/>
          <w:bCs/>
          <w:sz w:val="21"/>
        </w:rPr>
        <w:t>146</w:t>
      </w:r>
      <w:r>
        <w:rPr>
          <w:rFonts w:ascii="Times New Roman" w:hAnsi="Times New Roman"/>
          <w:bCs/>
          <w:sz w:val="21"/>
        </w:rPr>
        <w:t>7.</w:t>
      </w:r>
      <w:bookmarkEnd w:id="56"/>
    </w:p>
    <w:p w14:paraId="02153B96">
      <w:pPr>
        <w:pStyle w:val="30"/>
        <w:numPr>
          <w:ilvl w:val="0"/>
          <w:numId w:val="3"/>
        </w:numPr>
        <w:spacing w:line="300" w:lineRule="auto"/>
        <w:ind w:left="442" w:hanging="442" w:firstLineChars="0"/>
        <w:rPr>
          <w:rFonts w:ascii="Times New Roman" w:hAnsi="Times New Roman"/>
          <w:bCs/>
          <w:sz w:val="21"/>
        </w:rPr>
      </w:pPr>
      <w:bookmarkStart w:id="57" w:name="_Ref202901683"/>
      <w:r>
        <w:rPr>
          <w:rFonts w:ascii="Times New Roman" w:hAnsi="Times New Roman"/>
          <w:bCs/>
          <w:sz w:val="21"/>
        </w:rPr>
        <w:t xml:space="preserve">Wang X, Allen W E, Wright M A, et al. Three-dimensional intact-tissue sequencing of single-cell transcriptional states[J]. Science, 2018, 361(6400): </w:t>
      </w:r>
      <w:r>
        <w:rPr>
          <w:rFonts w:hint="eastAsia" w:ascii="Times New Roman" w:hAnsi="Times New Roman"/>
          <w:bCs/>
          <w:sz w:val="21"/>
        </w:rPr>
        <w:t>1-22</w:t>
      </w:r>
      <w:r>
        <w:rPr>
          <w:rFonts w:ascii="Times New Roman" w:hAnsi="Times New Roman"/>
          <w:bCs/>
          <w:sz w:val="21"/>
        </w:rPr>
        <w:t>.</w:t>
      </w:r>
      <w:bookmarkEnd w:id="57"/>
    </w:p>
    <w:p w14:paraId="039B91E2">
      <w:pPr>
        <w:pStyle w:val="30"/>
        <w:numPr>
          <w:ilvl w:val="0"/>
          <w:numId w:val="3"/>
        </w:numPr>
        <w:spacing w:line="300" w:lineRule="auto"/>
        <w:ind w:left="442" w:hanging="442" w:firstLineChars="0"/>
        <w:rPr>
          <w:rFonts w:ascii="Times New Roman" w:hAnsi="Times New Roman"/>
          <w:bCs/>
          <w:sz w:val="21"/>
        </w:rPr>
      </w:pPr>
      <w:bookmarkStart w:id="58" w:name="_Ref202171504"/>
      <w:r>
        <w:rPr>
          <w:rFonts w:ascii="Times New Roman" w:hAnsi="Times New Roman"/>
          <w:bCs/>
          <w:sz w:val="21"/>
        </w:rPr>
        <w:t>Rao A, Barkley D, França G S, et al.. Exploring tissue architecture using spatial transcriptomics[J]. Nature, 2021, 596: 211-220.</w:t>
      </w:r>
      <w:bookmarkEnd w:id="52"/>
      <w:bookmarkEnd w:id="58"/>
    </w:p>
    <w:p w14:paraId="02383AEA">
      <w:pPr>
        <w:pStyle w:val="30"/>
        <w:numPr>
          <w:ilvl w:val="0"/>
          <w:numId w:val="3"/>
        </w:numPr>
        <w:spacing w:line="300" w:lineRule="auto"/>
        <w:ind w:left="442" w:hanging="442" w:firstLineChars="0"/>
        <w:rPr>
          <w:rFonts w:ascii="Times New Roman" w:hAnsi="Times New Roman"/>
          <w:bCs/>
          <w:sz w:val="21"/>
        </w:rPr>
      </w:pPr>
      <w:bookmarkStart w:id="59" w:name="_Ref201862282"/>
      <w:r>
        <w:rPr>
          <w:rFonts w:ascii="Times New Roman" w:hAnsi="Times New Roman"/>
          <w:bCs/>
          <w:sz w:val="21"/>
        </w:rPr>
        <w:t>Wang Z, Gerstein M, Snyder M. RNA-Seq: a revolutionary tool for transcriptomics[J]. Nature Reviews Genetics, 2009, 10(1): 57-63.</w:t>
      </w:r>
      <w:bookmarkEnd w:id="53"/>
      <w:bookmarkEnd w:id="59"/>
    </w:p>
    <w:p w14:paraId="4238C2C5">
      <w:pPr>
        <w:pStyle w:val="30"/>
        <w:numPr>
          <w:ilvl w:val="0"/>
          <w:numId w:val="3"/>
        </w:numPr>
        <w:spacing w:line="300" w:lineRule="auto"/>
        <w:ind w:left="442" w:hanging="442" w:firstLineChars="0"/>
        <w:rPr>
          <w:rFonts w:ascii="Times New Roman" w:hAnsi="Times New Roman"/>
          <w:bCs/>
          <w:sz w:val="21"/>
        </w:rPr>
      </w:pPr>
      <w:bookmarkStart w:id="60" w:name="_Ref202171927"/>
      <w:r>
        <w:rPr>
          <w:rFonts w:ascii="Times New Roman" w:hAnsi="Times New Roman"/>
          <w:bCs/>
          <w:sz w:val="21"/>
        </w:rPr>
        <w:t xml:space="preserve">Asp M, Bergenstråhle J, Lundeberg J. Spatially Resolved Transcriptomes-Next Generation Tools for Tissue Exploration[J]. Bioessays, 2020, 42(10): </w:t>
      </w:r>
      <w:r>
        <w:rPr>
          <w:rFonts w:hint="eastAsia" w:ascii="Times New Roman" w:hAnsi="Times New Roman"/>
          <w:bCs/>
          <w:sz w:val="21"/>
        </w:rPr>
        <w:t>1-16</w:t>
      </w:r>
      <w:r>
        <w:rPr>
          <w:rFonts w:ascii="Times New Roman" w:hAnsi="Times New Roman"/>
          <w:bCs/>
          <w:sz w:val="21"/>
        </w:rPr>
        <w:t>.</w:t>
      </w:r>
      <w:bookmarkEnd w:id="60"/>
    </w:p>
    <w:p w14:paraId="1694CAC1">
      <w:pPr>
        <w:pStyle w:val="30"/>
        <w:numPr>
          <w:ilvl w:val="0"/>
          <w:numId w:val="3"/>
        </w:numPr>
        <w:spacing w:line="300" w:lineRule="auto"/>
        <w:ind w:left="442" w:hanging="442" w:firstLineChars="0"/>
        <w:rPr>
          <w:rFonts w:ascii="Times New Roman" w:hAnsi="Times New Roman"/>
          <w:bCs/>
          <w:sz w:val="21"/>
        </w:rPr>
      </w:pPr>
      <w:bookmarkStart w:id="61" w:name="_Ref202901701"/>
      <w:r>
        <w:rPr>
          <w:rFonts w:ascii="Times New Roman" w:hAnsi="Times New Roman"/>
          <w:bCs/>
          <w:sz w:val="21"/>
        </w:rPr>
        <w:t>[2] Stickels R R, Murray E, Kumar P, et al. Highly sensitive spatial transcriptomics at near-cellular resolution with Slide-seqV2[J]. Nature Biotechnology, 2021, 39(3): 313-319.</w:t>
      </w:r>
      <w:bookmarkEnd w:id="61"/>
    </w:p>
    <w:p w14:paraId="653300C3">
      <w:pPr>
        <w:pStyle w:val="30"/>
        <w:numPr>
          <w:ilvl w:val="0"/>
          <w:numId w:val="3"/>
        </w:numPr>
        <w:spacing w:line="300" w:lineRule="auto"/>
        <w:ind w:left="442" w:hanging="442" w:firstLineChars="0"/>
        <w:rPr>
          <w:rFonts w:ascii="Times New Roman" w:hAnsi="Times New Roman"/>
          <w:bCs/>
          <w:sz w:val="21"/>
        </w:rPr>
      </w:pPr>
      <w:bookmarkStart w:id="62" w:name="_Ref202901703"/>
      <w:r>
        <w:rPr>
          <w:rFonts w:ascii="Times New Roman" w:hAnsi="Times New Roman"/>
          <w:bCs/>
          <w:sz w:val="21"/>
        </w:rPr>
        <w:t>[3] Ståhl P L, Salmén F, Vickovic S, et al. Visualization and analysis of gene expression in tissue sections by spatial transcriptomics[J]. Science, 2016, 353(6294): 78-82.</w:t>
      </w:r>
      <w:bookmarkEnd w:id="62"/>
    </w:p>
    <w:p w14:paraId="70B130F2">
      <w:pPr>
        <w:pStyle w:val="30"/>
        <w:numPr>
          <w:ilvl w:val="0"/>
          <w:numId w:val="3"/>
        </w:numPr>
        <w:spacing w:line="300" w:lineRule="auto"/>
        <w:ind w:left="442" w:hanging="442" w:firstLineChars="0"/>
        <w:rPr>
          <w:rFonts w:ascii="Times New Roman" w:hAnsi="Times New Roman"/>
          <w:bCs/>
          <w:sz w:val="21"/>
        </w:rPr>
      </w:pPr>
      <w:bookmarkStart w:id="63" w:name="_Ref201802713"/>
      <w:r>
        <w:rPr>
          <w:rFonts w:ascii="Times New Roman" w:hAnsi="Times New Roman"/>
          <w:bCs/>
          <w:sz w:val="21"/>
        </w:rPr>
        <w:t>Kim K H, Moon H, Lee C, et al. Advances in single-cell RNA sequencing: a high-resolution view of gene expression dynamics in plants[J]. Plant Biotechnology Reports, 2019, 13(2): 143-157.</w:t>
      </w:r>
      <w:bookmarkEnd w:id="63"/>
    </w:p>
    <w:p w14:paraId="58AFBAA2">
      <w:pPr>
        <w:pStyle w:val="30"/>
        <w:numPr>
          <w:ilvl w:val="0"/>
          <w:numId w:val="3"/>
        </w:numPr>
        <w:spacing w:line="300" w:lineRule="auto"/>
        <w:ind w:left="442" w:hanging="442" w:firstLineChars="0"/>
        <w:rPr>
          <w:rFonts w:ascii="Times New Roman" w:hAnsi="Times New Roman"/>
          <w:bCs/>
          <w:sz w:val="21"/>
        </w:rPr>
      </w:pPr>
      <w:bookmarkStart w:id="64" w:name="_Ref201865728"/>
      <w:r>
        <w:rPr>
          <w:rFonts w:ascii="Times New Roman" w:hAnsi="Times New Roman"/>
          <w:bCs/>
          <w:sz w:val="21"/>
        </w:rPr>
        <w:t>Pliner H A, Shendure J, Trapnell C. Garnett: automated marker gene annotation for scRNA-seq data[J]. Computational and Structural Biotechnology Journal, 2019, 16: 505-508.</w:t>
      </w:r>
      <w:bookmarkEnd w:id="64"/>
      <w:r>
        <w:rPr>
          <w:rFonts w:ascii="Times New Roman" w:hAnsi="Times New Roman"/>
          <w:bCs/>
          <w:sz w:val="21"/>
        </w:rPr>
        <w:t xml:space="preserve"> </w:t>
      </w:r>
    </w:p>
    <w:p w14:paraId="6897C977">
      <w:pPr>
        <w:pStyle w:val="30"/>
        <w:numPr>
          <w:ilvl w:val="0"/>
          <w:numId w:val="3"/>
        </w:numPr>
        <w:spacing w:line="300" w:lineRule="auto"/>
        <w:ind w:left="442" w:hanging="442" w:firstLineChars="0"/>
        <w:rPr>
          <w:rFonts w:ascii="Times New Roman" w:hAnsi="Times New Roman"/>
          <w:bCs/>
          <w:sz w:val="21"/>
        </w:rPr>
      </w:pPr>
      <w:bookmarkStart w:id="65" w:name="_Ref202170686"/>
      <w:r>
        <w:rPr>
          <w:rFonts w:ascii="Times New Roman" w:hAnsi="Times New Roman"/>
          <w:bCs/>
          <w:sz w:val="21"/>
        </w:rPr>
        <w:t>Wang Z, Gerstein M, Snyder M. RNA-Seq: a revolutionary tool for transcriptomics[J]. Nature Reviews Genetics, 2009, 10(1): 57-63.</w:t>
      </w:r>
      <w:bookmarkEnd w:id="65"/>
    </w:p>
    <w:p w14:paraId="2218DAA9">
      <w:pPr>
        <w:pStyle w:val="30"/>
        <w:numPr>
          <w:ilvl w:val="0"/>
          <w:numId w:val="3"/>
        </w:numPr>
        <w:spacing w:line="300" w:lineRule="auto"/>
        <w:ind w:left="442" w:hanging="442" w:firstLineChars="0"/>
        <w:rPr>
          <w:rFonts w:ascii="Times New Roman" w:hAnsi="Times New Roman"/>
          <w:bCs/>
          <w:sz w:val="21"/>
        </w:rPr>
      </w:pPr>
      <w:bookmarkStart w:id="66" w:name="_Ref202170708"/>
      <w:r>
        <w:rPr>
          <w:rFonts w:hint="eastAsia" w:ascii="Times New Roman" w:hAnsi="Times New Roman"/>
          <w:bCs/>
          <w:sz w:val="21"/>
        </w:rPr>
        <w:t>陈梅丽, 马英克, 李茹姣, 等. 基因组学数据分析方法现状和展望 [J]. 数据与计算发展前沿, 2020, 2 (02): 1-19.</w:t>
      </w:r>
      <w:bookmarkEnd w:id="66"/>
    </w:p>
    <w:p w14:paraId="2E89459C">
      <w:pPr>
        <w:pStyle w:val="30"/>
        <w:numPr>
          <w:ilvl w:val="0"/>
          <w:numId w:val="3"/>
        </w:numPr>
        <w:spacing w:line="300" w:lineRule="auto"/>
        <w:ind w:left="442" w:hanging="442" w:firstLineChars="0"/>
        <w:rPr>
          <w:rFonts w:ascii="Times New Roman" w:hAnsi="Times New Roman"/>
          <w:bCs/>
          <w:sz w:val="21"/>
        </w:rPr>
      </w:pPr>
      <w:bookmarkStart w:id="67" w:name="_Ref202170717"/>
      <w:r>
        <w:rPr>
          <w:rFonts w:hint="eastAsia" w:ascii="Times New Roman" w:hAnsi="Times New Roman"/>
          <w:bCs/>
          <w:sz w:val="21"/>
        </w:rPr>
        <w:t>郭圆圆, 孙雅如, 张和平. 微生物转录组学技术研究进展[J].生物工程学报, 2022, 38(10): 3606-3615.</w:t>
      </w:r>
      <w:bookmarkEnd w:id="67"/>
    </w:p>
    <w:p w14:paraId="63403EB2">
      <w:pPr>
        <w:pStyle w:val="30"/>
        <w:numPr>
          <w:ilvl w:val="0"/>
          <w:numId w:val="3"/>
        </w:numPr>
        <w:spacing w:line="300" w:lineRule="auto"/>
        <w:ind w:left="442" w:hanging="442" w:firstLineChars="0"/>
        <w:rPr>
          <w:rFonts w:ascii="Times New Roman" w:hAnsi="Times New Roman"/>
          <w:bCs/>
          <w:sz w:val="21"/>
        </w:rPr>
      </w:pPr>
      <w:bookmarkStart w:id="68" w:name="_Ref201802677"/>
      <w:r>
        <w:rPr>
          <w:rFonts w:ascii="Times New Roman" w:hAnsi="Times New Roman"/>
          <w:bCs/>
          <w:sz w:val="21"/>
        </w:rPr>
        <w:t>Chen J, Liu W, Luo T, et al. A comprehensive comparison on cell-type composition inference for spatial transcriptomics data[J]. Briefings in Bioinformatics, 2022, 23(4): 1-18.</w:t>
      </w:r>
      <w:bookmarkEnd w:id="68"/>
    </w:p>
    <w:p w14:paraId="32B22861">
      <w:pPr>
        <w:pStyle w:val="30"/>
        <w:numPr>
          <w:ilvl w:val="0"/>
          <w:numId w:val="3"/>
        </w:numPr>
        <w:spacing w:line="300" w:lineRule="auto"/>
        <w:ind w:left="442" w:hanging="442" w:firstLineChars="0"/>
        <w:rPr>
          <w:rFonts w:ascii="Times New Roman" w:hAnsi="Times New Roman"/>
          <w:bCs/>
          <w:sz w:val="21"/>
        </w:rPr>
      </w:pPr>
      <w:bookmarkStart w:id="69" w:name="_Ref201802765"/>
      <w:r>
        <w:rPr>
          <w:rFonts w:hint="eastAsia" w:ascii="Times New Roman" w:hAnsi="Times New Roman"/>
          <w:bCs/>
          <w:sz w:val="21"/>
        </w:rPr>
        <w:t>陈子睿, 杨博然, 何田韵, 等. 基于迁移学习的空间转录组数据解卷积算法 [J/OL]. 生物信息学, 2024, 1-14.</w:t>
      </w:r>
      <w:bookmarkEnd w:id="69"/>
    </w:p>
    <w:p w14:paraId="77C3D26C">
      <w:pPr>
        <w:pStyle w:val="30"/>
        <w:numPr>
          <w:ilvl w:val="0"/>
          <w:numId w:val="3"/>
        </w:numPr>
        <w:spacing w:line="300" w:lineRule="auto"/>
        <w:ind w:left="442" w:hanging="442" w:firstLineChars="0"/>
        <w:rPr>
          <w:rFonts w:ascii="Times New Roman" w:hAnsi="Times New Roman"/>
          <w:bCs/>
          <w:sz w:val="21"/>
        </w:rPr>
      </w:pPr>
      <w:bookmarkStart w:id="70" w:name="_Ref201861908"/>
      <w:r>
        <w:rPr>
          <w:rFonts w:hint="eastAsia" w:ascii="Times New Roman" w:hAnsi="Times New Roman"/>
          <w:bCs/>
          <w:sz w:val="21"/>
        </w:rPr>
        <w:t>魏琢艺, 罗迈, 李文兵, 等. 基于多源域适应的单细胞智能分类 [J]. 计算机工程, 2024, 50 (06): 48-55.</w:t>
      </w:r>
      <w:bookmarkEnd w:id="70"/>
    </w:p>
    <w:p w14:paraId="2E6C7A7D">
      <w:pPr>
        <w:pStyle w:val="30"/>
        <w:numPr>
          <w:ilvl w:val="0"/>
          <w:numId w:val="3"/>
        </w:numPr>
        <w:spacing w:line="300" w:lineRule="auto"/>
        <w:ind w:left="442" w:hanging="442" w:firstLineChars="0"/>
        <w:rPr>
          <w:rFonts w:ascii="Times New Roman" w:hAnsi="Times New Roman"/>
          <w:bCs/>
          <w:sz w:val="21"/>
        </w:rPr>
      </w:pPr>
      <w:bookmarkStart w:id="71" w:name="_Ref201803049"/>
      <w:r>
        <w:rPr>
          <w:rFonts w:ascii="Times New Roman" w:hAnsi="Times New Roman"/>
          <w:bCs/>
          <w:sz w:val="21"/>
        </w:rPr>
        <w:t>Kleshchevnikov V, Shmatko A, Dann E, et al. Cell2location maps fine-grained cell types in spatial transcriptomics[J]. Nature Biotechnology, 2022, 40(5): 661-671.</w:t>
      </w:r>
      <w:bookmarkEnd w:id="71"/>
    </w:p>
    <w:p w14:paraId="12A3CDA0">
      <w:pPr>
        <w:pStyle w:val="30"/>
        <w:numPr>
          <w:ilvl w:val="0"/>
          <w:numId w:val="3"/>
        </w:numPr>
        <w:spacing w:line="300" w:lineRule="auto"/>
        <w:ind w:left="442" w:hanging="442" w:firstLineChars="0"/>
        <w:rPr>
          <w:rFonts w:ascii="Times New Roman" w:hAnsi="Times New Roman"/>
          <w:bCs/>
          <w:sz w:val="21"/>
        </w:rPr>
      </w:pPr>
      <w:bookmarkStart w:id="72" w:name="_Ref201802971"/>
      <w:r>
        <w:rPr>
          <w:rFonts w:ascii="Times New Roman" w:hAnsi="Times New Roman"/>
          <w:bCs/>
          <w:sz w:val="21"/>
        </w:rPr>
        <w:t>Cable D M, Murray E, Zou L S, et al. Robust decomposition of cell type mixtures in spatial transcriptomics[J]. Nature Biotechnology, 2022, 40(4): 517-526.</w:t>
      </w:r>
      <w:bookmarkEnd w:id="72"/>
    </w:p>
    <w:p w14:paraId="31144027">
      <w:pPr>
        <w:pStyle w:val="30"/>
        <w:numPr>
          <w:ilvl w:val="0"/>
          <w:numId w:val="3"/>
        </w:numPr>
        <w:spacing w:line="300" w:lineRule="auto"/>
        <w:ind w:left="442" w:hanging="442" w:firstLineChars="0"/>
        <w:rPr>
          <w:rFonts w:ascii="Times New Roman" w:hAnsi="Times New Roman"/>
          <w:bCs/>
          <w:sz w:val="21"/>
        </w:rPr>
      </w:pPr>
      <w:bookmarkStart w:id="73" w:name="_Ref201863134"/>
      <w:r>
        <w:rPr>
          <w:rFonts w:ascii="Times New Roman" w:hAnsi="Times New Roman"/>
          <w:bCs/>
          <w:sz w:val="21"/>
        </w:rPr>
        <w:t>Andersson A, Bergenstråhle J, Asp M</w:t>
      </w:r>
      <w:r>
        <w:rPr>
          <w:rFonts w:hint="eastAsia" w:ascii="Times New Roman" w:hAnsi="Times New Roman"/>
          <w:bCs/>
          <w:sz w:val="21"/>
        </w:rPr>
        <w:t>, et al</w:t>
      </w:r>
      <w:r>
        <w:rPr>
          <w:rFonts w:ascii="Times New Roman" w:hAnsi="Times New Roman"/>
          <w:bCs/>
          <w:sz w:val="21"/>
        </w:rPr>
        <w:t>. Single-cell and spatial transcriptomics enables probabilistic inference of cell type topography.</w:t>
      </w:r>
      <w:r>
        <w:rPr>
          <w:rFonts w:hint="eastAsia" w:ascii="Times New Roman" w:hAnsi="Times New Roman"/>
          <w:bCs/>
          <w:sz w:val="21"/>
        </w:rPr>
        <w:t>[J]</w:t>
      </w:r>
      <w:r>
        <w:rPr>
          <w:rFonts w:ascii="Times New Roman" w:hAnsi="Times New Roman"/>
          <w:bCs/>
          <w:sz w:val="21"/>
        </w:rPr>
        <w:t xml:space="preserve"> Communications Biology,</w:t>
      </w:r>
      <w:r>
        <w:rPr>
          <w:rFonts w:hint="eastAsia" w:ascii="Times New Roman" w:hAnsi="Times New Roman"/>
          <w:bCs/>
          <w:sz w:val="21"/>
        </w:rPr>
        <w:t xml:space="preserve"> </w:t>
      </w:r>
      <w:r>
        <w:rPr>
          <w:rFonts w:ascii="Times New Roman" w:hAnsi="Times New Roman"/>
          <w:bCs/>
          <w:sz w:val="21"/>
        </w:rPr>
        <w:t>2020</w:t>
      </w:r>
      <w:r>
        <w:rPr>
          <w:rFonts w:hint="eastAsia" w:ascii="Times New Roman" w:hAnsi="Times New Roman"/>
          <w:bCs/>
          <w:sz w:val="21"/>
        </w:rPr>
        <w:t>,</w:t>
      </w:r>
      <w:r>
        <w:rPr>
          <w:rFonts w:ascii="Times New Roman" w:hAnsi="Times New Roman"/>
          <w:bCs/>
          <w:sz w:val="21"/>
        </w:rPr>
        <w:t>3(1):565.</w:t>
      </w:r>
      <w:bookmarkEnd w:id="73"/>
    </w:p>
    <w:p w14:paraId="70EDE784">
      <w:pPr>
        <w:pStyle w:val="30"/>
        <w:numPr>
          <w:ilvl w:val="0"/>
          <w:numId w:val="3"/>
        </w:numPr>
        <w:spacing w:line="300" w:lineRule="auto"/>
        <w:ind w:left="442" w:hanging="442" w:firstLineChars="0"/>
        <w:rPr>
          <w:rFonts w:ascii="Times New Roman" w:hAnsi="Times New Roman"/>
          <w:bCs/>
          <w:sz w:val="21"/>
        </w:rPr>
      </w:pPr>
      <w:bookmarkStart w:id="74" w:name="_Ref201866086"/>
      <w:r>
        <w:rPr>
          <w:rFonts w:ascii="Times New Roman" w:hAnsi="Times New Roman"/>
          <w:bCs/>
          <w:sz w:val="21"/>
        </w:rPr>
        <w:t>Pliner H A, Shendure J, Trapnell C. Garnett: automated marker gene annotation for scRNA-seq data[J]. Computational and Structural Biotechnology Journal, 2019, 16: 505-508.</w:t>
      </w:r>
      <w:bookmarkEnd w:id="74"/>
      <w:r>
        <w:rPr>
          <w:rFonts w:ascii="Times New Roman" w:hAnsi="Times New Roman"/>
          <w:bCs/>
          <w:sz w:val="21"/>
        </w:rPr>
        <w:t xml:space="preserve"> </w:t>
      </w:r>
    </w:p>
    <w:p w14:paraId="71D79A80">
      <w:pPr>
        <w:pStyle w:val="30"/>
        <w:numPr>
          <w:ilvl w:val="0"/>
          <w:numId w:val="3"/>
        </w:numPr>
        <w:spacing w:line="300" w:lineRule="auto"/>
        <w:ind w:left="442" w:hanging="442" w:firstLineChars="0"/>
        <w:rPr>
          <w:rFonts w:ascii="Times New Roman" w:hAnsi="Times New Roman"/>
          <w:bCs/>
          <w:sz w:val="21"/>
        </w:rPr>
      </w:pPr>
      <w:bookmarkStart w:id="75" w:name="_Ref201866092"/>
      <w:r>
        <w:rPr>
          <w:rFonts w:ascii="Times New Roman" w:hAnsi="Times New Roman"/>
          <w:bCs/>
          <w:sz w:val="21"/>
        </w:rPr>
        <w:t>Yang P, Jin L, Liao J, et al. Revealing spatial multimodal heterogeneity in tissues with SpaTrio[J]. Cell Genomics, 2023, 3(12): 1-23.</w:t>
      </w:r>
      <w:bookmarkEnd w:id="75"/>
      <w:r>
        <w:rPr>
          <w:rFonts w:ascii="Times New Roman" w:hAnsi="Times New Roman"/>
          <w:bCs/>
          <w:sz w:val="21"/>
        </w:rPr>
        <w:t xml:space="preserve"> </w:t>
      </w:r>
    </w:p>
    <w:p w14:paraId="774F21E6">
      <w:pPr>
        <w:pStyle w:val="30"/>
        <w:numPr>
          <w:ilvl w:val="0"/>
          <w:numId w:val="3"/>
        </w:numPr>
        <w:spacing w:line="300" w:lineRule="auto"/>
        <w:ind w:left="442" w:hanging="442" w:firstLineChars="0"/>
        <w:rPr>
          <w:rFonts w:ascii="Times New Roman" w:hAnsi="Times New Roman"/>
          <w:bCs/>
          <w:sz w:val="21"/>
        </w:rPr>
      </w:pPr>
      <w:bookmarkStart w:id="76" w:name="_Ref201866098"/>
      <w:r>
        <w:rPr>
          <w:rFonts w:ascii="Times New Roman" w:hAnsi="Times New Roman"/>
          <w:bCs/>
          <w:sz w:val="21"/>
        </w:rPr>
        <w:t>Liu Z, Wu D, Zhai W, et al. SONAR enables cell type deconvolution with spatially weighted poisson-gamma model for spatial transcriptomics[J]. Nature Communications, 2023, 14: 4727.</w:t>
      </w:r>
      <w:bookmarkEnd w:id="76"/>
    </w:p>
    <w:p w14:paraId="31D46912">
      <w:pPr>
        <w:pStyle w:val="30"/>
        <w:numPr>
          <w:ilvl w:val="0"/>
          <w:numId w:val="3"/>
        </w:numPr>
        <w:spacing w:line="300" w:lineRule="auto"/>
        <w:ind w:left="442" w:hanging="442" w:firstLineChars="0"/>
        <w:rPr>
          <w:rFonts w:ascii="Times New Roman" w:hAnsi="Times New Roman"/>
          <w:bCs/>
          <w:sz w:val="21"/>
        </w:rPr>
      </w:pPr>
      <w:bookmarkStart w:id="77" w:name="_Ref201802930"/>
      <w:r>
        <w:rPr>
          <w:rFonts w:ascii="Times New Roman" w:hAnsi="Times New Roman"/>
          <w:bCs/>
          <w:sz w:val="21"/>
        </w:rPr>
        <w:t>Dong R, Yuan G C. SpatialDWLS: accurate deconvolution of spatial transcriptomic data[J]. Genome Biology, 2021, 22(1): 1-19.</w:t>
      </w:r>
      <w:bookmarkEnd w:id="77"/>
    </w:p>
    <w:p w14:paraId="3CCF9C66">
      <w:pPr>
        <w:pStyle w:val="30"/>
        <w:numPr>
          <w:ilvl w:val="0"/>
          <w:numId w:val="3"/>
        </w:numPr>
        <w:spacing w:line="300" w:lineRule="auto"/>
        <w:ind w:left="442" w:hanging="442" w:firstLineChars="0"/>
        <w:rPr>
          <w:rFonts w:ascii="Times New Roman" w:hAnsi="Times New Roman"/>
          <w:bCs/>
          <w:sz w:val="21"/>
        </w:rPr>
      </w:pPr>
      <w:bookmarkStart w:id="78" w:name="_Ref201802856"/>
      <w:r>
        <w:rPr>
          <w:rFonts w:ascii="Times New Roman" w:hAnsi="Times New Roman"/>
          <w:bCs/>
          <w:sz w:val="21"/>
        </w:rPr>
        <w:t>Elosua-Bayes M, Nieto P, Mereu E, et al. SPOTlight: seeded NMF regression to deconvolute spatial transcriptomics spots with single-cell transcriptomes[J]. Nucleic Acids Research, 2021, 49(9): 1-12.</w:t>
      </w:r>
      <w:bookmarkEnd w:id="78"/>
    </w:p>
    <w:p w14:paraId="03AFCC20">
      <w:pPr>
        <w:pStyle w:val="30"/>
        <w:numPr>
          <w:ilvl w:val="0"/>
          <w:numId w:val="3"/>
        </w:numPr>
        <w:spacing w:line="300" w:lineRule="auto"/>
        <w:ind w:left="442" w:hanging="442" w:firstLineChars="0"/>
        <w:rPr>
          <w:rFonts w:ascii="Times New Roman" w:hAnsi="Times New Roman"/>
          <w:bCs/>
          <w:sz w:val="21"/>
        </w:rPr>
      </w:pPr>
      <w:bookmarkStart w:id="79" w:name="_Ref201865196"/>
      <w:r>
        <w:rPr>
          <w:rFonts w:ascii="Times New Roman" w:hAnsi="Times New Roman"/>
          <w:bCs/>
          <w:sz w:val="21"/>
        </w:rPr>
        <w:t>Rodriques S G, Stickels R R, Goeva A, et al. Slide-seq: A scalable technology for measuring genome-wide expression at high spatial resolution[J]. Science, 2019, 363: 1463-1467.</w:t>
      </w:r>
      <w:bookmarkEnd w:id="79"/>
    </w:p>
    <w:p w14:paraId="0A369DA7">
      <w:pPr>
        <w:pStyle w:val="30"/>
        <w:numPr>
          <w:ilvl w:val="0"/>
          <w:numId w:val="3"/>
        </w:numPr>
        <w:spacing w:line="300" w:lineRule="auto"/>
        <w:ind w:left="442" w:hanging="442" w:firstLineChars="0"/>
        <w:rPr>
          <w:rFonts w:ascii="Times New Roman" w:hAnsi="Times New Roman"/>
          <w:bCs/>
          <w:sz w:val="21"/>
        </w:rPr>
      </w:pPr>
      <w:bookmarkStart w:id="80" w:name="_Ref201866571"/>
      <w:r>
        <w:rPr>
          <w:rFonts w:ascii="Times New Roman" w:hAnsi="Times New Roman"/>
          <w:bCs/>
          <w:sz w:val="21"/>
        </w:rPr>
        <w:t>Frishberg A, Peshes-Yaloz N, Cohn O, et al. Cell composition analysis of bulk genomics using single-cell data[J]. Nature Methods, 2019, 16(4): 327-332.</w:t>
      </w:r>
      <w:bookmarkEnd w:id="80"/>
    </w:p>
    <w:p w14:paraId="6C4AC1B8">
      <w:pPr>
        <w:pStyle w:val="30"/>
        <w:numPr>
          <w:ilvl w:val="0"/>
          <w:numId w:val="3"/>
        </w:numPr>
        <w:spacing w:line="300" w:lineRule="auto"/>
        <w:ind w:left="442" w:hanging="442" w:firstLineChars="0"/>
        <w:rPr>
          <w:rFonts w:ascii="Times New Roman" w:hAnsi="Times New Roman"/>
          <w:bCs/>
          <w:sz w:val="21"/>
        </w:rPr>
      </w:pPr>
      <w:bookmarkStart w:id="81" w:name="_Ref201866579"/>
      <w:r>
        <w:rPr>
          <w:rFonts w:ascii="Times New Roman" w:hAnsi="Times New Roman"/>
          <w:bCs/>
          <w:sz w:val="21"/>
        </w:rPr>
        <w:t>Newman AM, Liu CL, Green MR, et al. Robust enumeration of cell subsets from tissue expression profiles[J]. Nature Methods, 2015, 12(5): 453-457.</w:t>
      </w:r>
      <w:bookmarkEnd w:id="81"/>
    </w:p>
    <w:p w14:paraId="0AF69693">
      <w:pPr>
        <w:pStyle w:val="30"/>
        <w:numPr>
          <w:ilvl w:val="0"/>
          <w:numId w:val="3"/>
        </w:numPr>
        <w:spacing w:line="300" w:lineRule="auto"/>
        <w:ind w:left="442" w:hanging="442" w:firstLineChars="0"/>
        <w:rPr>
          <w:rFonts w:ascii="Times New Roman" w:hAnsi="Times New Roman"/>
          <w:bCs/>
          <w:sz w:val="21"/>
        </w:rPr>
      </w:pPr>
      <w:bookmarkStart w:id="82" w:name="_Ref201866587"/>
      <w:r>
        <w:rPr>
          <w:rFonts w:ascii="Times New Roman" w:hAnsi="Times New Roman"/>
          <w:bCs/>
          <w:sz w:val="21"/>
        </w:rPr>
        <w:t>Wang X, Park J, Susztak K, et al. Bulk tissue cell type deconvolution with multi-subject single-cell expression reference[J]. Nature Communications, 2019, 10(1): 1-9.</w:t>
      </w:r>
      <w:bookmarkEnd w:id="82"/>
    </w:p>
    <w:p w14:paraId="30FB3A14">
      <w:pPr>
        <w:pStyle w:val="30"/>
        <w:numPr>
          <w:ilvl w:val="0"/>
          <w:numId w:val="3"/>
        </w:numPr>
        <w:spacing w:line="300" w:lineRule="auto"/>
        <w:ind w:left="442" w:hanging="442" w:firstLineChars="0"/>
        <w:rPr>
          <w:rFonts w:ascii="Times New Roman" w:hAnsi="Times New Roman"/>
          <w:bCs/>
          <w:sz w:val="21"/>
        </w:rPr>
      </w:pPr>
      <w:bookmarkStart w:id="83" w:name="_Ref201866658"/>
      <w:r>
        <w:rPr>
          <w:rFonts w:ascii="Times New Roman" w:hAnsi="Times New Roman"/>
          <w:bCs/>
          <w:sz w:val="21"/>
        </w:rPr>
        <w:t>Liao J, Qian J, Fang Y, et al. De novo analysis of bulk RNA-seq data at spatially resolved single-cell resolution[J]. Nature Communications, 2022, 13: 1-19.</w:t>
      </w:r>
      <w:bookmarkEnd w:id="83"/>
      <w:r>
        <w:rPr>
          <w:rFonts w:ascii="Times New Roman" w:hAnsi="Times New Roman"/>
          <w:bCs/>
          <w:sz w:val="21"/>
        </w:rPr>
        <w:t xml:space="preserve"> </w:t>
      </w:r>
    </w:p>
    <w:p w14:paraId="30EFDF58">
      <w:pPr>
        <w:pStyle w:val="30"/>
        <w:numPr>
          <w:ilvl w:val="0"/>
          <w:numId w:val="3"/>
        </w:numPr>
        <w:spacing w:line="300" w:lineRule="auto"/>
        <w:ind w:left="442" w:hanging="442" w:firstLineChars="0"/>
        <w:rPr>
          <w:rFonts w:ascii="Times New Roman" w:hAnsi="Times New Roman"/>
          <w:bCs/>
          <w:sz w:val="21"/>
        </w:rPr>
      </w:pPr>
      <w:bookmarkStart w:id="84" w:name="_Ref201866713"/>
      <w:r>
        <w:rPr>
          <w:rFonts w:ascii="Times New Roman" w:hAnsi="Times New Roman"/>
          <w:bCs/>
          <w:sz w:val="21"/>
        </w:rPr>
        <w:t>Benjamin K, Bhandari A, Kepple JD, et al. Multiscale topology classifies cells in subcellular spatial transcriptomics[J]. Nature, 2024,1-21.</w:t>
      </w:r>
      <w:bookmarkEnd w:id="84"/>
    </w:p>
    <w:p w14:paraId="7D57F0C8">
      <w:pPr>
        <w:pStyle w:val="30"/>
        <w:numPr>
          <w:ilvl w:val="0"/>
          <w:numId w:val="3"/>
        </w:numPr>
        <w:spacing w:line="300" w:lineRule="auto"/>
        <w:ind w:left="442" w:hanging="442" w:firstLineChars="0"/>
        <w:rPr>
          <w:rFonts w:ascii="Times New Roman" w:hAnsi="Times New Roman"/>
          <w:bCs/>
          <w:sz w:val="21"/>
        </w:rPr>
      </w:pPr>
      <w:bookmarkStart w:id="85" w:name="_Ref201803177"/>
      <w:r>
        <w:rPr>
          <w:rFonts w:ascii="Times New Roman" w:hAnsi="Times New Roman"/>
          <w:bCs/>
          <w:sz w:val="21"/>
        </w:rPr>
        <w:t>Song Q, Su J. DSTG: deconvoluting spatial transcriptomics data through graph-based artificial intelligence[J]. Briefings in Bioinformatics, 2021, 22(5): 1-13.</w:t>
      </w:r>
      <w:bookmarkEnd w:id="85"/>
      <w:r>
        <w:rPr>
          <w:rFonts w:ascii="Times New Roman" w:hAnsi="Times New Roman"/>
          <w:bCs/>
          <w:sz w:val="21"/>
        </w:rPr>
        <w:t xml:space="preserve"> </w:t>
      </w:r>
    </w:p>
    <w:p w14:paraId="31BD233D">
      <w:pPr>
        <w:pStyle w:val="30"/>
        <w:numPr>
          <w:ilvl w:val="0"/>
          <w:numId w:val="3"/>
        </w:numPr>
        <w:spacing w:line="300" w:lineRule="auto"/>
        <w:ind w:left="442" w:hanging="442" w:firstLineChars="0"/>
        <w:rPr>
          <w:rFonts w:ascii="Times New Roman" w:hAnsi="Times New Roman"/>
          <w:bCs/>
          <w:sz w:val="21"/>
        </w:rPr>
      </w:pPr>
      <w:bookmarkStart w:id="86" w:name="_Ref201803198"/>
      <w:r>
        <w:rPr>
          <w:rFonts w:ascii="Times New Roman" w:hAnsi="Times New Roman"/>
          <w:bCs/>
          <w:sz w:val="21"/>
        </w:rPr>
        <w:t>Li H, Li H, Zhou J, et al. SD2: spatially resolved transcriptomics deconvolution through integration of dropout and spatial information[J]. Bioinformatics, 2022, 38(21): 4878-4884.</w:t>
      </w:r>
      <w:bookmarkEnd w:id="86"/>
    </w:p>
    <w:p w14:paraId="3FFDBB4B">
      <w:pPr>
        <w:pStyle w:val="30"/>
        <w:numPr>
          <w:ilvl w:val="0"/>
          <w:numId w:val="3"/>
        </w:numPr>
        <w:spacing w:line="300" w:lineRule="auto"/>
        <w:ind w:left="442" w:hanging="442" w:firstLineChars="0"/>
        <w:rPr>
          <w:rFonts w:ascii="Times New Roman" w:hAnsi="Times New Roman"/>
          <w:bCs/>
          <w:sz w:val="21"/>
        </w:rPr>
      </w:pPr>
      <w:bookmarkStart w:id="87" w:name="_Ref201867030"/>
      <w:r>
        <w:rPr>
          <w:rFonts w:ascii="Times New Roman" w:hAnsi="Times New Roman"/>
          <w:bCs/>
          <w:sz w:val="21"/>
        </w:rPr>
        <w:t>Wei R, He S, Bai S, et al. Spatial charting of single-cell transcriptomes in tissues[J]. Nature Biotechnology, 2022, 40(7): 1190-1199.</w:t>
      </w:r>
      <w:bookmarkEnd w:id="87"/>
      <w:r>
        <w:rPr>
          <w:rFonts w:ascii="Times New Roman" w:hAnsi="Times New Roman"/>
          <w:bCs/>
          <w:sz w:val="21"/>
        </w:rPr>
        <w:t xml:space="preserve"> </w:t>
      </w:r>
    </w:p>
    <w:p w14:paraId="040707D0">
      <w:pPr>
        <w:pStyle w:val="30"/>
        <w:numPr>
          <w:ilvl w:val="0"/>
          <w:numId w:val="3"/>
        </w:numPr>
        <w:spacing w:line="300" w:lineRule="auto"/>
        <w:ind w:left="442" w:hanging="442" w:firstLineChars="0"/>
        <w:rPr>
          <w:rFonts w:ascii="Times New Roman" w:hAnsi="Times New Roman"/>
          <w:bCs/>
          <w:sz w:val="21"/>
        </w:rPr>
      </w:pPr>
      <w:bookmarkStart w:id="88" w:name="_Ref201867037"/>
      <w:r>
        <w:rPr>
          <w:rFonts w:ascii="Times New Roman" w:hAnsi="Times New Roman"/>
          <w:bCs/>
          <w:sz w:val="21"/>
        </w:rPr>
        <w:t>Shen R, Liu L, Wu Z, et al. Spatial-ID: a cell typing method for spatially resolved transcriptomics via transfer learning and spatial embedding[J]. Nature Communications, 2022, 13: 1-17.</w:t>
      </w:r>
      <w:bookmarkEnd w:id="88"/>
      <w:r>
        <w:rPr>
          <w:rFonts w:ascii="Times New Roman" w:hAnsi="Times New Roman"/>
          <w:bCs/>
          <w:sz w:val="21"/>
        </w:rPr>
        <w:t xml:space="preserve"> </w:t>
      </w:r>
    </w:p>
    <w:p w14:paraId="1CC368B1">
      <w:pPr>
        <w:pStyle w:val="30"/>
        <w:numPr>
          <w:ilvl w:val="0"/>
          <w:numId w:val="3"/>
        </w:numPr>
        <w:spacing w:line="300" w:lineRule="auto"/>
        <w:ind w:left="442" w:hanging="442" w:firstLineChars="0"/>
        <w:rPr>
          <w:rFonts w:ascii="Times New Roman" w:hAnsi="Times New Roman"/>
          <w:bCs/>
          <w:sz w:val="21"/>
        </w:rPr>
      </w:pPr>
      <w:bookmarkStart w:id="89" w:name="_Ref201803271"/>
      <w:r>
        <w:rPr>
          <w:rFonts w:ascii="Times New Roman" w:hAnsi="Times New Roman"/>
          <w:bCs/>
          <w:sz w:val="21"/>
        </w:rPr>
        <w:t>Zhang T., Zhang Z., Li L., et al. GTAD: a graph-based approach for cell spatial composition inference from integrated scRNA-seq and ST-seq data[J]. Briefings in Bioinformatics, 2024, 25(1): 1-13.</w:t>
      </w:r>
      <w:bookmarkEnd w:id="89"/>
    </w:p>
    <w:p w14:paraId="0F9415A3">
      <w:pPr>
        <w:pStyle w:val="30"/>
        <w:numPr>
          <w:ilvl w:val="0"/>
          <w:numId w:val="3"/>
        </w:numPr>
        <w:spacing w:line="300" w:lineRule="auto"/>
        <w:ind w:firstLineChars="0"/>
        <w:rPr>
          <w:rFonts w:ascii="Times New Roman" w:hAnsi="Times New Roman"/>
          <w:bCs/>
          <w:sz w:val="21"/>
        </w:rPr>
      </w:pPr>
      <w:bookmarkStart w:id="90" w:name="_Ref202173701"/>
      <w:r>
        <w:rPr>
          <w:rFonts w:ascii="Times New Roman" w:hAnsi="Times New Roman"/>
          <w:bCs/>
          <w:sz w:val="21"/>
        </w:rPr>
        <w:t>Li B, Zhang W, Guo C, et al. Benchmarking spatial and single-cell transcriptomics integration methods for transcript distribution prediction and cell type deconvolution[J]. Nature Methods, 2022, 19(6): 662-670.</w:t>
      </w:r>
      <w:bookmarkEnd w:id="90"/>
    </w:p>
    <w:p w14:paraId="3F0EBEB2">
      <w:pPr>
        <w:pStyle w:val="30"/>
        <w:numPr>
          <w:ilvl w:val="0"/>
          <w:numId w:val="3"/>
        </w:numPr>
        <w:spacing w:line="300" w:lineRule="auto"/>
        <w:ind w:firstLineChars="0"/>
        <w:rPr>
          <w:rFonts w:ascii="Times New Roman" w:hAnsi="Times New Roman"/>
          <w:bCs/>
          <w:sz w:val="21"/>
        </w:rPr>
      </w:pPr>
      <w:bookmarkStart w:id="91" w:name="_Ref202901741"/>
      <w:r>
        <w:rPr>
          <w:rFonts w:ascii="Times New Roman" w:hAnsi="Times New Roman"/>
          <w:bCs/>
          <w:sz w:val="21"/>
        </w:rPr>
        <w:t xml:space="preserve">Chen J, Liu W, Luo T, et al. A comprehensive comparison on cell-type composition inference for spatial transcriptomics data[J]. Briefings in Bioinformatics, 2022, 23(4): </w:t>
      </w:r>
      <w:r>
        <w:rPr>
          <w:rFonts w:hint="eastAsia" w:ascii="Times New Roman" w:hAnsi="Times New Roman"/>
          <w:bCs/>
          <w:sz w:val="21"/>
        </w:rPr>
        <w:t>1-18</w:t>
      </w:r>
      <w:r>
        <w:rPr>
          <w:rFonts w:ascii="Times New Roman" w:hAnsi="Times New Roman"/>
          <w:bCs/>
          <w:sz w:val="21"/>
        </w:rPr>
        <w:t>.</w:t>
      </w:r>
      <w:bookmarkEnd w:id="91"/>
    </w:p>
    <w:p w14:paraId="33B67A26">
      <w:pPr>
        <w:pStyle w:val="30"/>
        <w:numPr>
          <w:ilvl w:val="0"/>
          <w:numId w:val="3"/>
        </w:numPr>
        <w:spacing w:line="300" w:lineRule="auto"/>
        <w:ind w:firstLineChars="0"/>
        <w:rPr>
          <w:rFonts w:ascii="Times New Roman" w:hAnsi="Times New Roman"/>
          <w:bCs/>
          <w:sz w:val="21"/>
        </w:rPr>
      </w:pPr>
      <w:bookmarkStart w:id="92" w:name="_Ref202901743"/>
      <w:r>
        <w:rPr>
          <w:rFonts w:ascii="Times New Roman" w:hAnsi="Times New Roman"/>
          <w:bCs/>
          <w:sz w:val="21"/>
        </w:rPr>
        <w:t xml:space="preserve">Yan L, Sun X. Benchmarking and integration of methods for deconvoluting spatial transcriptomic data[J]. Bioinformatics, 2023, 39(1): </w:t>
      </w:r>
      <w:r>
        <w:rPr>
          <w:rFonts w:hint="eastAsia" w:ascii="Times New Roman" w:hAnsi="Times New Roman"/>
          <w:bCs/>
          <w:sz w:val="21"/>
        </w:rPr>
        <w:t>1-8</w:t>
      </w:r>
      <w:r>
        <w:rPr>
          <w:rFonts w:ascii="Times New Roman" w:hAnsi="Times New Roman"/>
          <w:bCs/>
          <w:sz w:val="21"/>
        </w:rPr>
        <w:t>.</w:t>
      </w:r>
      <w:bookmarkEnd w:id="92"/>
    </w:p>
    <w:p w14:paraId="7A78C237">
      <w:pPr>
        <w:pStyle w:val="30"/>
        <w:numPr>
          <w:ilvl w:val="0"/>
          <w:numId w:val="3"/>
        </w:numPr>
        <w:spacing w:line="300" w:lineRule="auto"/>
        <w:ind w:firstLineChars="0"/>
        <w:rPr>
          <w:rFonts w:ascii="Times New Roman" w:hAnsi="Times New Roman"/>
          <w:bCs/>
          <w:sz w:val="21"/>
        </w:rPr>
      </w:pPr>
      <w:bookmarkStart w:id="93" w:name="_Ref202901744"/>
      <w:r>
        <w:rPr>
          <w:rFonts w:ascii="Times New Roman" w:hAnsi="Times New Roman"/>
          <w:bCs/>
          <w:sz w:val="21"/>
        </w:rPr>
        <w:t>Li H, Zhou J, Li Z, et al. A comprehensive benchmarking with practical guidelines for cellular deconvolution of spatial transcriptomics[J]. Nature Communications, 2023, 14(1): 1548.</w:t>
      </w:r>
      <w:bookmarkEnd w:id="93"/>
    </w:p>
    <w:p w14:paraId="05BFC3F3">
      <w:pPr>
        <w:pStyle w:val="30"/>
        <w:numPr>
          <w:ilvl w:val="0"/>
          <w:numId w:val="3"/>
        </w:numPr>
        <w:spacing w:line="300" w:lineRule="auto"/>
        <w:ind w:firstLineChars="0"/>
        <w:rPr>
          <w:rFonts w:ascii="Times New Roman" w:hAnsi="Times New Roman"/>
          <w:bCs/>
          <w:sz w:val="21"/>
        </w:rPr>
      </w:pPr>
      <w:bookmarkStart w:id="94" w:name="_Ref202174194"/>
      <w:r>
        <w:rPr>
          <w:rFonts w:ascii="Times New Roman" w:hAnsi="Times New Roman"/>
          <w:bCs/>
          <w:sz w:val="21"/>
        </w:rPr>
        <w:t xml:space="preserve">Wolf </w:t>
      </w:r>
      <w:r>
        <w:rPr>
          <w:rFonts w:hint="eastAsia" w:ascii="Times New Roman" w:hAnsi="Times New Roman"/>
          <w:bCs/>
          <w:sz w:val="21"/>
        </w:rPr>
        <w:t xml:space="preserve">F </w:t>
      </w:r>
      <w:r>
        <w:rPr>
          <w:rFonts w:ascii="Times New Roman" w:hAnsi="Times New Roman"/>
          <w:bCs/>
          <w:sz w:val="21"/>
        </w:rPr>
        <w:t>A, Angerer P, Theis F J. SCANPY: large-scale single-cell gene expression data analysis [J]. Genome Biology, 2018, 19(1): 1</w:t>
      </w:r>
      <w:r>
        <w:rPr>
          <w:rFonts w:hint="eastAsia" w:ascii="Times New Roman" w:hAnsi="Times New Roman"/>
          <w:bCs/>
          <w:sz w:val="21"/>
        </w:rPr>
        <w:t>-5</w:t>
      </w:r>
      <w:r>
        <w:rPr>
          <w:rFonts w:ascii="Times New Roman" w:hAnsi="Times New Roman"/>
          <w:bCs/>
          <w:sz w:val="21"/>
        </w:rPr>
        <w:t>.</w:t>
      </w:r>
      <w:bookmarkEnd w:id="94"/>
    </w:p>
    <w:p w14:paraId="28CD0072">
      <w:pPr>
        <w:pStyle w:val="30"/>
        <w:numPr>
          <w:ilvl w:val="0"/>
          <w:numId w:val="3"/>
        </w:numPr>
        <w:spacing w:line="300" w:lineRule="auto"/>
        <w:ind w:left="442" w:hanging="442" w:firstLineChars="0"/>
        <w:rPr>
          <w:rFonts w:ascii="Times New Roman" w:hAnsi="Times New Roman"/>
          <w:bCs/>
          <w:sz w:val="21"/>
        </w:rPr>
      </w:pPr>
      <w:bookmarkStart w:id="95" w:name="_Ref202172499"/>
      <w:bookmarkStart w:id="96" w:name="_Ref201864738"/>
      <w:r>
        <w:rPr>
          <w:rFonts w:ascii="Times New Roman" w:hAnsi="Times New Roman"/>
          <w:bCs/>
          <w:sz w:val="21"/>
        </w:rPr>
        <w:t>Lopez R, Boyeau P, Yosef N, et al. Decision-making with auto-encoding variational Bayes[J]. Advances in Neural Information Processing Systems, 2020, 33: 5081–92.</w:t>
      </w:r>
      <w:bookmarkEnd w:id="95"/>
    </w:p>
    <w:p w14:paraId="5B96CD9C">
      <w:pPr>
        <w:pStyle w:val="30"/>
        <w:numPr>
          <w:ilvl w:val="0"/>
          <w:numId w:val="3"/>
        </w:numPr>
        <w:spacing w:line="300" w:lineRule="auto"/>
        <w:ind w:left="442" w:hanging="442" w:firstLineChars="0"/>
        <w:rPr>
          <w:rFonts w:ascii="Times New Roman" w:hAnsi="Times New Roman"/>
          <w:bCs/>
          <w:sz w:val="21"/>
        </w:rPr>
      </w:pPr>
      <w:bookmarkStart w:id="97" w:name="_Ref202174383"/>
      <w:r>
        <w:rPr>
          <w:rFonts w:ascii="Times New Roman" w:hAnsi="Times New Roman"/>
          <w:bCs/>
          <w:sz w:val="21"/>
        </w:rPr>
        <w:t>Xiong L, Tian K, Li Y, et al. Online single-cell data integration through projecting heterogeneous datasets into a common cell-embedding space[J]. Nature Communications, 2022, 13(1): 6118.</w:t>
      </w:r>
      <w:bookmarkEnd w:id="97"/>
    </w:p>
    <w:p w14:paraId="435ABC5A">
      <w:pPr>
        <w:pStyle w:val="30"/>
        <w:numPr>
          <w:ilvl w:val="0"/>
          <w:numId w:val="3"/>
        </w:numPr>
        <w:spacing w:line="300" w:lineRule="auto"/>
        <w:ind w:left="442" w:hanging="442" w:firstLineChars="0"/>
        <w:rPr>
          <w:rFonts w:ascii="Times New Roman" w:hAnsi="Times New Roman"/>
          <w:bCs/>
          <w:sz w:val="21"/>
        </w:rPr>
      </w:pPr>
      <w:bookmarkStart w:id="98" w:name="_Ref202191777"/>
      <w:bookmarkStart w:id="99" w:name="_Ref202172922"/>
      <w:r>
        <w:rPr>
          <w:rFonts w:ascii="Times New Roman" w:hAnsi="Times New Roman"/>
          <w:bCs/>
          <w:sz w:val="21"/>
        </w:rPr>
        <w:t>Tasic B, Yao Z, Graybuck L T, et al. Shared and distinct transcriptomic cell types across neocortical areas[J]. Nature, 2018, 563(7729): 72–78.</w:t>
      </w:r>
      <w:bookmarkEnd w:id="98"/>
    </w:p>
    <w:p w14:paraId="0AF8AB01">
      <w:pPr>
        <w:pStyle w:val="30"/>
        <w:numPr>
          <w:ilvl w:val="0"/>
          <w:numId w:val="3"/>
        </w:numPr>
        <w:spacing w:line="300" w:lineRule="auto"/>
        <w:ind w:left="442" w:hanging="442" w:firstLineChars="0"/>
        <w:rPr>
          <w:rFonts w:ascii="Times New Roman" w:hAnsi="Times New Roman"/>
          <w:bCs/>
          <w:sz w:val="21"/>
        </w:rPr>
      </w:pPr>
      <w:bookmarkStart w:id="100" w:name="_Ref202191788"/>
      <w:r>
        <w:rPr>
          <w:rFonts w:ascii="Times New Roman" w:hAnsi="Times New Roman"/>
          <w:bCs/>
          <w:sz w:val="21"/>
        </w:rPr>
        <w:t>Alon S, Goodwin D R, Sinha A, et al. Expansion sequencing: Spatially precise in situ transcriptomics in intact biological systems[J]. Science, 2021, 371(6528):</w:t>
      </w:r>
      <w:r>
        <w:rPr>
          <w:rFonts w:hint="eastAsia" w:ascii="Times New Roman" w:hAnsi="Times New Roman"/>
          <w:bCs/>
          <w:sz w:val="21"/>
        </w:rPr>
        <w:t>1-14</w:t>
      </w:r>
      <w:r>
        <w:rPr>
          <w:rFonts w:ascii="Times New Roman" w:hAnsi="Times New Roman"/>
          <w:bCs/>
          <w:sz w:val="21"/>
        </w:rPr>
        <w:t>.</w:t>
      </w:r>
      <w:bookmarkEnd w:id="100"/>
    </w:p>
    <w:p w14:paraId="00C504D5">
      <w:pPr>
        <w:pStyle w:val="30"/>
        <w:numPr>
          <w:ilvl w:val="0"/>
          <w:numId w:val="3"/>
        </w:numPr>
        <w:spacing w:line="300" w:lineRule="auto"/>
        <w:ind w:left="442" w:hanging="442" w:firstLineChars="0"/>
        <w:rPr>
          <w:rFonts w:ascii="Times New Roman" w:hAnsi="Times New Roman"/>
          <w:bCs/>
          <w:sz w:val="21"/>
        </w:rPr>
      </w:pPr>
      <w:bookmarkStart w:id="101" w:name="_Ref202191914"/>
      <w:r>
        <w:rPr>
          <w:rFonts w:ascii="Times New Roman" w:hAnsi="Times New Roman"/>
          <w:bCs/>
          <w:sz w:val="21"/>
        </w:rPr>
        <w:t>Eng C H L, Lawson M, Zhu Q, et al. Transcriptome-scale super-resolved imaging in tissues by RNA seqFISH+[J]. Nature, 2019, 568(7751): 235–239.</w:t>
      </w:r>
      <w:bookmarkEnd w:id="101"/>
    </w:p>
    <w:p w14:paraId="21570D16">
      <w:pPr>
        <w:pStyle w:val="30"/>
        <w:numPr>
          <w:ilvl w:val="0"/>
          <w:numId w:val="3"/>
        </w:numPr>
        <w:spacing w:line="300" w:lineRule="auto"/>
        <w:ind w:left="442" w:hanging="442" w:firstLineChars="0"/>
        <w:rPr>
          <w:rFonts w:ascii="Times New Roman" w:hAnsi="Times New Roman"/>
          <w:bCs/>
          <w:sz w:val="21"/>
        </w:rPr>
      </w:pPr>
      <w:bookmarkStart w:id="102" w:name="_Ref202807758"/>
      <w:r>
        <w:rPr>
          <w:rFonts w:ascii="Times New Roman" w:hAnsi="Times New Roman"/>
          <w:bCs/>
          <w:sz w:val="21"/>
        </w:rPr>
        <w:t>Stuart T, Butler A, Hoffman P, et al. Comprehensive integration of single-cell data[J]. Cell, 2019, 177(7): 1888-1902.</w:t>
      </w:r>
      <w:bookmarkEnd w:id="99"/>
      <w:bookmarkEnd w:id="102"/>
    </w:p>
    <w:p w14:paraId="239DD731">
      <w:pPr>
        <w:pStyle w:val="30"/>
        <w:numPr>
          <w:ilvl w:val="0"/>
          <w:numId w:val="3"/>
        </w:numPr>
        <w:spacing w:line="300" w:lineRule="auto"/>
        <w:ind w:left="442" w:hanging="442" w:firstLineChars="0"/>
        <w:rPr>
          <w:rFonts w:ascii="Times New Roman" w:hAnsi="Times New Roman"/>
          <w:bCs/>
          <w:sz w:val="21"/>
        </w:rPr>
      </w:pPr>
      <w:bookmarkStart w:id="103" w:name="_Ref202172940"/>
      <w:r>
        <w:rPr>
          <w:rFonts w:ascii="Times New Roman" w:hAnsi="Times New Roman"/>
          <w:bCs/>
          <w:sz w:val="21"/>
        </w:rPr>
        <w:t>Ma Y, Zhou X. Spatially informed cell-type deconvolution for spatial transcriptomics[J]. Nature Biotechnology, 2022, 40: 1349–1359.</w:t>
      </w:r>
      <w:bookmarkEnd w:id="103"/>
    </w:p>
    <w:p w14:paraId="79553BBE">
      <w:pPr>
        <w:pStyle w:val="30"/>
        <w:numPr>
          <w:ilvl w:val="0"/>
          <w:numId w:val="3"/>
        </w:numPr>
        <w:spacing w:line="300" w:lineRule="auto"/>
        <w:ind w:left="442" w:hanging="442" w:firstLineChars="0"/>
        <w:rPr>
          <w:rFonts w:ascii="Times New Roman" w:hAnsi="Times New Roman"/>
          <w:bCs/>
          <w:sz w:val="21"/>
        </w:rPr>
      </w:pPr>
      <w:bookmarkStart w:id="104" w:name="_Ref202173144"/>
      <w:r>
        <w:rPr>
          <w:rFonts w:ascii="Times New Roman" w:hAnsi="Times New Roman"/>
          <w:bCs/>
          <w:sz w:val="21"/>
        </w:rPr>
        <w:t>Biancalani T, Scalia G, Buffoni L, et al. Deep learning and alignment of spatially resolved single-cell transcriptomes with Tangram[J]. Nature Methods, 2021, 18(11): 1352–1362.</w:t>
      </w:r>
      <w:bookmarkEnd w:id="96"/>
      <w:bookmarkEnd w:id="104"/>
    </w:p>
    <w:p w14:paraId="55E1CE69">
      <w:pPr>
        <w:pStyle w:val="30"/>
        <w:numPr>
          <w:ilvl w:val="0"/>
          <w:numId w:val="3"/>
        </w:numPr>
        <w:spacing w:line="300" w:lineRule="auto"/>
        <w:ind w:left="442" w:hanging="442" w:firstLineChars="0"/>
        <w:rPr>
          <w:rFonts w:ascii="Times New Roman" w:hAnsi="Times New Roman"/>
          <w:bCs/>
          <w:sz w:val="21"/>
        </w:rPr>
      </w:pPr>
      <w:bookmarkStart w:id="105" w:name="_Ref201802838"/>
      <w:r>
        <w:rPr>
          <w:rFonts w:ascii="Times New Roman" w:hAnsi="Times New Roman"/>
          <w:bCs/>
          <w:sz w:val="21"/>
        </w:rPr>
        <w:t xml:space="preserve">Lopez R, Li B, Keren-Shaul H, et al. </w:t>
      </w:r>
      <w:bookmarkStart w:id="106" w:name="OLE_LINK19"/>
      <w:r>
        <w:rPr>
          <w:rFonts w:ascii="Times New Roman" w:hAnsi="Times New Roman"/>
          <w:bCs/>
          <w:sz w:val="21"/>
        </w:rPr>
        <w:t>DestVI</w:t>
      </w:r>
      <w:bookmarkEnd w:id="106"/>
      <w:r>
        <w:rPr>
          <w:rFonts w:ascii="Times New Roman" w:hAnsi="Times New Roman"/>
          <w:bCs/>
          <w:sz w:val="21"/>
        </w:rPr>
        <w:t>: identifies continuums of cell types in spatial transcriptomics data[J]. Nature Biotechnology, 2022, 40: 1360-1369.</w:t>
      </w:r>
      <w:bookmarkEnd w:id="105"/>
    </w:p>
    <w:p w14:paraId="08966AD0">
      <w:pPr>
        <w:pStyle w:val="30"/>
        <w:numPr>
          <w:ilvl w:val="0"/>
          <w:numId w:val="3"/>
        </w:numPr>
        <w:spacing w:line="300" w:lineRule="auto"/>
        <w:ind w:left="442" w:hanging="442" w:firstLineChars="0"/>
        <w:rPr>
          <w:rFonts w:ascii="Times New Roman" w:hAnsi="Times New Roman"/>
          <w:bCs/>
          <w:sz w:val="21"/>
        </w:rPr>
      </w:pPr>
      <w:bookmarkStart w:id="107" w:name="_Ref201803224"/>
      <w:r>
        <w:rPr>
          <w:rFonts w:ascii="Times New Roman" w:hAnsi="Times New Roman"/>
          <w:bCs/>
          <w:sz w:val="21"/>
        </w:rPr>
        <w:t xml:space="preserve">Yin W, Wan Y, Zhou Y. </w:t>
      </w:r>
      <w:bookmarkStart w:id="108" w:name="OLE_LINK20"/>
      <w:r>
        <w:rPr>
          <w:rFonts w:ascii="Times New Roman" w:hAnsi="Times New Roman"/>
          <w:bCs/>
          <w:sz w:val="21"/>
        </w:rPr>
        <w:t>SpatialcoGCN:</w:t>
      </w:r>
      <w:bookmarkEnd w:id="108"/>
      <w:r>
        <w:rPr>
          <w:rFonts w:ascii="Times New Roman" w:hAnsi="Times New Roman"/>
          <w:bCs/>
          <w:sz w:val="21"/>
        </w:rPr>
        <w:t xml:space="preserve"> deconvolution and spatial information-aware simulation of spatial transcriptomics data via deep graph co-embedding[J]. Briefings in Bioinformatics, 2024, 25(3): 1-24.</w:t>
      </w:r>
      <w:bookmarkEnd w:id="107"/>
      <w:r>
        <w:rPr>
          <w:rFonts w:ascii="Times New Roman" w:hAnsi="Times New Roman"/>
          <w:bCs/>
          <w:sz w:val="21"/>
        </w:rPr>
        <w:t xml:space="preserve"> </w:t>
      </w:r>
      <w:bookmarkEnd w:id="54"/>
    </w:p>
    <w:sectPr>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Wingdings 2">
    <w:altName w:val="Wingdings"/>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79261732"/>
      <w:docPartObj>
        <w:docPartGallery w:val="autotext"/>
      </w:docPartObj>
    </w:sdtPr>
    <w:sdtContent>
      <w:p w14:paraId="37EBB063">
        <w:pPr>
          <w:pStyle w:val="10"/>
          <w:jc w:val="center"/>
        </w:pPr>
        <w:r>
          <w:fldChar w:fldCharType="begin"/>
        </w:r>
        <w:r>
          <w:instrText xml:space="preserve">PAGE   \* MERGEFORMAT</w:instrText>
        </w:r>
        <w:r>
          <w:fldChar w:fldCharType="separate"/>
        </w:r>
        <w:r>
          <w:rPr>
            <w:lang w:val="zh-CN"/>
          </w:rPr>
          <w:t>2</w:t>
        </w:r>
        <w:r>
          <w:fldChar w:fldCharType="end"/>
        </w:r>
      </w:p>
    </w:sdtContent>
  </w:sdt>
  <w:p w14:paraId="2619DD01">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A09D5">
    <w:pPr>
      <w:pBdr>
        <w:bottom w:val="thickThinSmallGap" w:color="auto" w:sz="12" w:space="1"/>
      </w:pBdr>
      <w:tabs>
        <w:tab w:val="center" w:pos="4153"/>
        <w:tab w:val="right" w:pos="8306"/>
      </w:tabs>
      <w:snapToGrid w:val="0"/>
      <w:spacing w:after="360" w:afterLines="150"/>
      <w:jc w:val="center"/>
      <w:rPr>
        <w:rFonts w:hint="eastAsia" w:ascii="黑体" w:hAnsi="黑体" w:eastAsia="黑体" w:cs="黑体"/>
        <w:spacing w:val="17"/>
        <w:sz w:val="32"/>
        <w:szCs w:val="32"/>
      </w:rPr>
    </w:pPr>
    <w:r>
      <w:rPr>
        <w:rFonts w:hint="eastAsia" w:ascii="黑体" w:hAnsi="黑体" w:eastAsia="黑体" w:cs="黑体"/>
        <w:spacing w:val="17"/>
        <w:sz w:val="32"/>
        <w:szCs w:val="32"/>
      </w:rPr>
      <w:t>河北工业大学研究生学位论文中期报告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5"/>
      <w:lvlText w:val="%1."/>
      <w:lvlJc w:val="left"/>
      <w:pPr>
        <w:tabs>
          <w:tab w:val="left" w:pos="360"/>
        </w:tabs>
        <w:ind w:left="360" w:hanging="360" w:hangingChars="200"/>
      </w:pPr>
    </w:lvl>
  </w:abstractNum>
  <w:abstractNum w:abstractNumId="1">
    <w:nsid w:val="179E32B1"/>
    <w:multiLevelType w:val="multilevel"/>
    <w:tmpl w:val="179E32B1"/>
    <w:lvl w:ilvl="0" w:tentative="0">
      <w:start w:val="1"/>
      <w:numFmt w:val="japaneseCounting"/>
      <w:lvlText w:val="%1、"/>
      <w:lvlJc w:val="left"/>
      <w:pPr>
        <w:ind w:left="750" w:hanging="75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4BEF490B"/>
    <w:multiLevelType w:val="multilevel"/>
    <w:tmpl w:val="4BEF490B"/>
    <w:lvl w:ilvl="0" w:tentative="0">
      <w:start w:val="1"/>
      <w:numFmt w:val="decimal"/>
      <w:lvlText w:val="[%1]"/>
      <w:lvlJc w:val="left"/>
      <w:pPr>
        <w:ind w:left="440" w:hanging="440"/>
      </w:pPr>
      <w:rPr>
        <w:rFonts w:hint="eastAsia"/>
        <w:color w:val="auto"/>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42B"/>
    <w:rsid w:val="00004254"/>
    <w:rsid w:val="000122CF"/>
    <w:rsid w:val="00014176"/>
    <w:rsid w:val="00015A9E"/>
    <w:rsid w:val="00032062"/>
    <w:rsid w:val="00035BFD"/>
    <w:rsid w:val="000376F0"/>
    <w:rsid w:val="00044DCC"/>
    <w:rsid w:val="00045572"/>
    <w:rsid w:val="000457F3"/>
    <w:rsid w:val="00045DDA"/>
    <w:rsid w:val="00047121"/>
    <w:rsid w:val="00051047"/>
    <w:rsid w:val="000520C8"/>
    <w:rsid w:val="00056C00"/>
    <w:rsid w:val="00061E87"/>
    <w:rsid w:val="000813F9"/>
    <w:rsid w:val="000819FD"/>
    <w:rsid w:val="00082F6F"/>
    <w:rsid w:val="000915EA"/>
    <w:rsid w:val="000A0755"/>
    <w:rsid w:val="000A082F"/>
    <w:rsid w:val="000B0EEF"/>
    <w:rsid w:val="000B48FD"/>
    <w:rsid w:val="000B759C"/>
    <w:rsid w:val="000B75ED"/>
    <w:rsid w:val="000C00D4"/>
    <w:rsid w:val="000C1112"/>
    <w:rsid w:val="000C47CD"/>
    <w:rsid w:val="000D2B11"/>
    <w:rsid w:val="000D3411"/>
    <w:rsid w:val="000E539E"/>
    <w:rsid w:val="000E6395"/>
    <w:rsid w:val="000F558A"/>
    <w:rsid w:val="000F642F"/>
    <w:rsid w:val="00107183"/>
    <w:rsid w:val="00107FAE"/>
    <w:rsid w:val="0011253F"/>
    <w:rsid w:val="001126CF"/>
    <w:rsid w:val="00120339"/>
    <w:rsid w:val="00120A2B"/>
    <w:rsid w:val="00125523"/>
    <w:rsid w:val="0012552A"/>
    <w:rsid w:val="00125FF8"/>
    <w:rsid w:val="00127244"/>
    <w:rsid w:val="001326F5"/>
    <w:rsid w:val="00134440"/>
    <w:rsid w:val="0014096D"/>
    <w:rsid w:val="00142EE5"/>
    <w:rsid w:val="0014511D"/>
    <w:rsid w:val="00147C04"/>
    <w:rsid w:val="001525D8"/>
    <w:rsid w:val="001719E7"/>
    <w:rsid w:val="001727C8"/>
    <w:rsid w:val="001734C6"/>
    <w:rsid w:val="00174009"/>
    <w:rsid w:val="001758EF"/>
    <w:rsid w:val="00175F7B"/>
    <w:rsid w:val="0017669C"/>
    <w:rsid w:val="00181421"/>
    <w:rsid w:val="00181AC3"/>
    <w:rsid w:val="00183AF3"/>
    <w:rsid w:val="001A5D4D"/>
    <w:rsid w:val="001A75EE"/>
    <w:rsid w:val="001B4B15"/>
    <w:rsid w:val="001B7C54"/>
    <w:rsid w:val="001C104A"/>
    <w:rsid w:val="001C1FED"/>
    <w:rsid w:val="001C6CF7"/>
    <w:rsid w:val="001D1CA1"/>
    <w:rsid w:val="001D43D6"/>
    <w:rsid w:val="001D542B"/>
    <w:rsid w:val="001D59E7"/>
    <w:rsid w:val="001D5B56"/>
    <w:rsid w:val="001D76A4"/>
    <w:rsid w:val="001E1D18"/>
    <w:rsid w:val="001E2726"/>
    <w:rsid w:val="001F14B7"/>
    <w:rsid w:val="00200EA8"/>
    <w:rsid w:val="002058ED"/>
    <w:rsid w:val="0021554E"/>
    <w:rsid w:val="00215FB9"/>
    <w:rsid w:val="0022082A"/>
    <w:rsid w:val="002245A7"/>
    <w:rsid w:val="00227162"/>
    <w:rsid w:val="00230D5B"/>
    <w:rsid w:val="00244AF7"/>
    <w:rsid w:val="00254A02"/>
    <w:rsid w:val="00261A06"/>
    <w:rsid w:val="00261FCA"/>
    <w:rsid w:val="00267FB3"/>
    <w:rsid w:val="00283414"/>
    <w:rsid w:val="00286C04"/>
    <w:rsid w:val="0029129B"/>
    <w:rsid w:val="00296008"/>
    <w:rsid w:val="00297EF4"/>
    <w:rsid w:val="002A0C83"/>
    <w:rsid w:val="002A35B8"/>
    <w:rsid w:val="002B3687"/>
    <w:rsid w:val="002C2C6B"/>
    <w:rsid w:val="002C41FF"/>
    <w:rsid w:val="002C562D"/>
    <w:rsid w:val="002C5FF6"/>
    <w:rsid w:val="002D35A9"/>
    <w:rsid w:val="002D61C5"/>
    <w:rsid w:val="002E04EC"/>
    <w:rsid w:val="002E32FB"/>
    <w:rsid w:val="002F250F"/>
    <w:rsid w:val="002F25A7"/>
    <w:rsid w:val="002F45F1"/>
    <w:rsid w:val="00300C5A"/>
    <w:rsid w:val="00311D2D"/>
    <w:rsid w:val="003205A0"/>
    <w:rsid w:val="00320BB0"/>
    <w:rsid w:val="00321EAF"/>
    <w:rsid w:val="00323AB0"/>
    <w:rsid w:val="00323ABA"/>
    <w:rsid w:val="003300E8"/>
    <w:rsid w:val="00330C8A"/>
    <w:rsid w:val="00333676"/>
    <w:rsid w:val="00333DFB"/>
    <w:rsid w:val="0035398C"/>
    <w:rsid w:val="003602D8"/>
    <w:rsid w:val="00361D18"/>
    <w:rsid w:val="00362FCF"/>
    <w:rsid w:val="003637B9"/>
    <w:rsid w:val="00367B2D"/>
    <w:rsid w:val="0037016C"/>
    <w:rsid w:val="003726F9"/>
    <w:rsid w:val="003738B2"/>
    <w:rsid w:val="0038207B"/>
    <w:rsid w:val="00385634"/>
    <w:rsid w:val="003A6307"/>
    <w:rsid w:val="003B312A"/>
    <w:rsid w:val="003C0410"/>
    <w:rsid w:val="003C58BA"/>
    <w:rsid w:val="003C7FAB"/>
    <w:rsid w:val="003D3A47"/>
    <w:rsid w:val="003E2CEE"/>
    <w:rsid w:val="003F37C7"/>
    <w:rsid w:val="003F702F"/>
    <w:rsid w:val="00416F56"/>
    <w:rsid w:val="00430F75"/>
    <w:rsid w:val="00435E23"/>
    <w:rsid w:val="004377AB"/>
    <w:rsid w:val="00443873"/>
    <w:rsid w:val="00452654"/>
    <w:rsid w:val="004537C8"/>
    <w:rsid w:val="00454913"/>
    <w:rsid w:val="00455F00"/>
    <w:rsid w:val="00456E29"/>
    <w:rsid w:val="00470A1A"/>
    <w:rsid w:val="00491FE5"/>
    <w:rsid w:val="004927DA"/>
    <w:rsid w:val="00496DB1"/>
    <w:rsid w:val="004B7A00"/>
    <w:rsid w:val="004C10C7"/>
    <w:rsid w:val="004C206B"/>
    <w:rsid w:val="004C26FA"/>
    <w:rsid w:val="004D0C7C"/>
    <w:rsid w:val="004E4749"/>
    <w:rsid w:val="004E5045"/>
    <w:rsid w:val="004F5D18"/>
    <w:rsid w:val="005000F5"/>
    <w:rsid w:val="0050096D"/>
    <w:rsid w:val="005027F1"/>
    <w:rsid w:val="00502C02"/>
    <w:rsid w:val="00506596"/>
    <w:rsid w:val="005074EE"/>
    <w:rsid w:val="00507CB1"/>
    <w:rsid w:val="00514ADF"/>
    <w:rsid w:val="00516838"/>
    <w:rsid w:val="00517BDE"/>
    <w:rsid w:val="0052142B"/>
    <w:rsid w:val="005216E6"/>
    <w:rsid w:val="0052185C"/>
    <w:rsid w:val="0052460D"/>
    <w:rsid w:val="00527EC0"/>
    <w:rsid w:val="00532CBF"/>
    <w:rsid w:val="00533094"/>
    <w:rsid w:val="00533C53"/>
    <w:rsid w:val="0053718B"/>
    <w:rsid w:val="0053727B"/>
    <w:rsid w:val="00541CBE"/>
    <w:rsid w:val="00543A07"/>
    <w:rsid w:val="00546939"/>
    <w:rsid w:val="005518F3"/>
    <w:rsid w:val="00551D09"/>
    <w:rsid w:val="00553654"/>
    <w:rsid w:val="00573288"/>
    <w:rsid w:val="00586AB1"/>
    <w:rsid w:val="00590298"/>
    <w:rsid w:val="005921D0"/>
    <w:rsid w:val="00593774"/>
    <w:rsid w:val="00597ED0"/>
    <w:rsid w:val="005A191E"/>
    <w:rsid w:val="005A64E8"/>
    <w:rsid w:val="005A6C71"/>
    <w:rsid w:val="005B3FB8"/>
    <w:rsid w:val="005C0C59"/>
    <w:rsid w:val="005D26D5"/>
    <w:rsid w:val="005D27F3"/>
    <w:rsid w:val="005D2AF5"/>
    <w:rsid w:val="005D63DA"/>
    <w:rsid w:val="005D7193"/>
    <w:rsid w:val="005E3F2A"/>
    <w:rsid w:val="005E7348"/>
    <w:rsid w:val="005E7B0E"/>
    <w:rsid w:val="005F19E3"/>
    <w:rsid w:val="005F2751"/>
    <w:rsid w:val="005F3DDC"/>
    <w:rsid w:val="00603C5F"/>
    <w:rsid w:val="00605FF2"/>
    <w:rsid w:val="00607207"/>
    <w:rsid w:val="00610532"/>
    <w:rsid w:val="0061296B"/>
    <w:rsid w:val="00614AC7"/>
    <w:rsid w:val="0062190A"/>
    <w:rsid w:val="00624980"/>
    <w:rsid w:val="006275A2"/>
    <w:rsid w:val="00627C21"/>
    <w:rsid w:val="00634468"/>
    <w:rsid w:val="0063485F"/>
    <w:rsid w:val="00644BA3"/>
    <w:rsid w:val="00652DAF"/>
    <w:rsid w:val="00653BC0"/>
    <w:rsid w:val="006549B4"/>
    <w:rsid w:val="00657D95"/>
    <w:rsid w:val="006644D1"/>
    <w:rsid w:val="00664AB9"/>
    <w:rsid w:val="006810C0"/>
    <w:rsid w:val="006851B0"/>
    <w:rsid w:val="00685E91"/>
    <w:rsid w:val="006873F7"/>
    <w:rsid w:val="006934FF"/>
    <w:rsid w:val="006A107C"/>
    <w:rsid w:val="006A18D2"/>
    <w:rsid w:val="006A2444"/>
    <w:rsid w:val="006A4A69"/>
    <w:rsid w:val="006A6DD3"/>
    <w:rsid w:val="006B0BFD"/>
    <w:rsid w:val="006B1A2C"/>
    <w:rsid w:val="006B3DBF"/>
    <w:rsid w:val="006B49D0"/>
    <w:rsid w:val="006B6603"/>
    <w:rsid w:val="006C0B25"/>
    <w:rsid w:val="006D0FD0"/>
    <w:rsid w:val="006E0662"/>
    <w:rsid w:val="006E2B71"/>
    <w:rsid w:val="006F093E"/>
    <w:rsid w:val="006F1CCA"/>
    <w:rsid w:val="006F3311"/>
    <w:rsid w:val="006F4F95"/>
    <w:rsid w:val="00705141"/>
    <w:rsid w:val="00705556"/>
    <w:rsid w:val="007061EE"/>
    <w:rsid w:val="007108DC"/>
    <w:rsid w:val="00711D64"/>
    <w:rsid w:val="00712DEA"/>
    <w:rsid w:val="00715DDF"/>
    <w:rsid w:val="00717E4E"/>
    <w:rsid w:val="00724BDA"/>
    <w:rsid w:val="00730934"/>
    <w:rsid w:val="007446D2"/>
    <w:rsid w:val="00754DAE"/>
    <w:rsid w:val="00757998"/>
    <w:rsid w:val="007641EE"/>
    <w:rsid w:val="007762A8"/>
    <w:rsid w:val="00777A43"/>
    <w:rsid w:val="00777EB9"/>
    <w:rsid w:val="00786271"/>
    <w:rsid w:val="00791B37"/>
    <w:rsid w:val="007938CD"/>
    <w:rsid w:val="007967E8"/>
    <w:rsid w:val="0079751B"/>
    <w:rsid w:val="007B44C7"/>
    <w:rsid w:val="007D0CB6"/>
    <w:rsid w:val="007D14A5"/>
    <w:rsid w:val="007D2C65"/>
    <w:rsid w:val="007E4467"/>
    <w:rsid w:val="007E688B"/>
    <w:rsid w:val="007F0889"/>
    <w:rsid w:val="007F4249"/>
    <w:rsid w:val="00800E0E"/>
    <w:rsid w:val="00801F92"/>
    <w:rsid w:val="00802AA7"/>
    <w:rsid w:val="008044CE"/>
    <w:rsid w:val="00804B91"/>
    <w:rsid w:val="00807673"/>
    <w:rsid w:val="00822267"/>
    <w:rsid w:val="00836607"/>
    <w:rsid w:val="00843938"/>
    <w:rsid w:val="0084612A"/>
    <w:rsid w:val="00850E7B"/>
    <w:rsid w:val="008532D4"/>
    <w:rsid w:val="008655BF"/>
    <w:rsid w:val="008657C6"/>
    <w:rsid w:val="00870EF4"/>
    <w:rsid w:val="008711A8"/>
    <w:rsid w:val="008719D3"/>
    <w:rsid w:val="00871FA6"/>
    <w:rsid w:val="008739C5"/>
    <w:rsid w:val="00876EFE"/>
    <w:rsid w:val="00877E6C"/>
    <w:rsid w:val="0089077B"/>
    <w:rsid w:val="00893B9C"/>
    <w:rsid w:val="00895F8F"/>
    <w:rsid w:val="008B3264"/>
    <w:rsid w:val="008B390E"/>
    <w:rsid w:val="008B6B64"/>
    <w:rsid w:val="008C5AAF"/>
    <w:rsid w:val="008E382E"/>
    <w:rsid w:val="008F41D9"/>
    <w:rsid w:val="008F4270"/>
    <w:rsid w:val="00900120"/>
    <w:rsid w:val="009004D7"/>
    <w:rsid w:val="0090380B"/>
    <w:rsid w:val="00904AE4"/>
    <w:rsid w:val="00915834"/>
    <w:rsid w:val="00917C34"/>
    <w:rsid w:val="009279AE"/>
    <w:rsid w:val="00930B44"/>
    <w:rsid w:val="00931CAE"/>
    <w:rsid w:val="009512BA"/>
    <w:rsid w:val="00955848"/>
    <w:rsid w:val="0095735E"/>
    <w:rsid w:val="00961D0C"/>
    <w:rsid w:val="00964D79"/>
    <w:rsid w:val="009731CD"/>
    <w:rsid w:val="00973911"/>
    <w:rsid w:val="00975FD5"/>
    <w:rsid w:val="00983835"/>
    <w:rsid w:val="00991423"/>
    <w:rsid w:val="00996516"/>
    <w:rsid w:val="009A1B7A"/>
    <w:rsid w:val="009A3C56"/>
    <w:rsid w:val="009A7CFA"/>
    <w:rsid w:val="009B3AA3"/>
    <w:rsid w:val="009C2B8E"/>
    <w:rsid w:val="009C52AF"/>
    <w:rsid w:val="009C72EF"/>
    <w:rsid w:val="009D175E"/>
    <w:rsid w:val="009D431B"/>
    <w:rsid w:val="009E0B96"/>
    <w:rsid w:val="009E0DF0"/>
    <w:rsid w:val="009E65C1"/>
    <w:rsid w:val="009F164F"/>
    <w:rsid w:val="009F21E7"/>
    <w:rsid w:val="009F4902"/>
    <w:rsid w:val="009F5B70"/>
    <w:rsid w:val="009F7150"/>
    <w:rsid w:val="00A005BA"/>
    <w:rsid w:val="00A02BF6"/>
    <w:rsid w:val="00A03D3C"/>
    <w:rsid w:val="00A058FA"/>
    <w:rsid w:val="00A1540C"/>
    <w:rsid w:val="00A1562F"/>
    <w:rsid w:val="00A17C5C"/>
    <w:rsid w:val="00A17C84"/>
    <w:rsid w:val="00A17D8D"/>
    <w:rsid w:val="00A433AF"/>
    <w:rsid w:val="00A4647C"/>
    <w:rsid w:val="00A517B5"/>
    <w:rsid w:val="00A62F71"/>
    <w:rsid w:val="00A93A8A"/>
    <w:rsid w:val="00AA2A8B"/>
    <w:rsid w:val="00AB1B0F"/>
    <w:rsid w:val="00AB5915"/>
    <w:rsid w:val="00AB6749"/>
    <w:rsid w:val="00AB7F52"/>
    <w:rsid w:val="00AD0247"/>
    <w:rsid w:val="00AD063D"/>
    <w:rsid w:val="00AD2ACA"/>
    <w:rsid w:val="00AE034D"/>
    <w:rsid w:val="00AE1715"/>
    <w:rsid w:val="00AE1FB6"/>
    <w:rsid w:val="00AE34DE"/>
    <w:rsid w:val="00AF5A96"/>
    <w:rsid w:val="00B00007"/>
    <w:rsid w:val="00B123B4"/>
    <w:rsid w:val="00B24475"/>
    <w:rsid w:val="00B260E1"/>
    <w:rsid w:val="00B26161"/>
    <w:rsid w:val="00B37A27"/>
    <w:rsid w:val="00B41807"/>
    <w:rsid w:val="00B41E12"/>
    <w:rsid w:val="00B50B0E"/>
    <w:rsid w:val="00B50D83"/>
    <w:rsid w:val="00B614EC"/>
    <w:rsid w:val="00B70F39"/>
    <w:rsid w:val="00B72BD4"/>
    <w:rsid w:val="00B73B2F"/>
    <w:rsid w:val="00B84C92"/>
    <w:rsid w:val="00B876B4"/>
    <w:rsid w:val="00B926D5"/>
    <w:rsid w:val="00B94683"/>
    <w:rsid w:val="00B97579"/>
    <w:rsid w:val="00BA15F8"/>
    <w:rsid w:val="00BA3EAC"/>
    <w:rsid w:val="00BA45D8"/>
    <w:rsid w:val="00BB4CCF"/>
    <w:rsid w:val="00BC1B9B"/>
    <w:rsid w:val="00BC3D58"/>
    <w:rsid w:val="00BC64CB"/>
    <w:rsid w:val="00BC6D47"/>
    <w:rsid w:val="00BC788F"/>
    <w:rsid w:val="00BD5D02"/>
    <w:rsid w:val="00BE0F34"/>
    <w:rsid w:val="00BE5B99"/>
    <w:rsid w:val="00BE76BF"/>
    <w:rsid w:val="00BF4AB3"/>
    <w:rsid w:val="00BF4CAC"/>
    <w:rsid w:val="00C10565"/>
    <w:rsid w:val="00C12BF6"/>
    <w:rsid w:val="00C1545B"/>
    <w:rsid w:val="00C2175C"/>
    <w:rsid w:val="00C234B1"/>
    <w:rsid w:val="00C344F3"/>
    <w:rsid w:val="00C3491F"/>
    <w:rsid w:val="00C4083D"/>
    <w:rsid w:val="00C4647C"/>
    <w:rsid w:val="00C47CFC"/>
    <w:rsid w:val="00C644FC"/>
    <w:rsid w:val="00C76484"/>
    <w:rsid w:val="00C8386E"/>
    <w:rsid w:val="00CA0150"/>
    <w:rsid w:val="00CA0B58"/>
    <w:rsid w:val="00CA357C"/>
    <w:rsid w:val="00CB396C"/>
    <w:rsid w:val="00CC0A28"/>
    <w:rsid w:val="00CC314D"/>
    <w:rsid w:val="00CC38F9"/>
    <w:rsid w:val="00CD2C77"/>
    <w:rsid w:val="00CF1B7A"/>
    <w:rsid w:val="00D04715"/>
    <w:rsid w:val="00D064EB"/>
    <w:rsid w:val="00D161B0"/>
    <w:rsid w:val="00D269F8"/>
    <w:rsid w:val="00D33AB8"/>
    <w:rsid w:val="00D35FAE"/>
    <w:rsid w:val="00D4343E"/>
    <w:rsid w:val="00D53741"/>
    <w:rsid w:val="00D53C07"/>
    <w:rsid w:val="00D56117"/>
    <w:rsid w:val="00D56BAC"/>
    <w:rsid w:val="00D606C2"/>
    <w:rsid w:val="00D62CE3"/>
    <w:rsid w:val="00D63FFD"/>
    <w:rsid w:val="00D72383"/>
    <w:rsid w:val="00D740F3"/>
    <w:rsid w:val="00DC652D"/>
    <w:rsid w:val="00DC7EDF"/>
    <w:rsid w:val="00DD0D83"/>
    <w:rsid w:val="00DD328A"/>
    <w:rsid w:val="00DD5358"/>
    <w:rsid w:val="00DD559E"/>
    <w:rsid w:val="00DE7DB2"/>
    <w:rsid w:val="00DF2FA6"/>
    <w:rsid w:val="00E145C1"/>
    <w:rsid w:val="00E27AAC"/>
    <w:rsid w:val="00E31D47"/>
    <w:rsid w:val="00E46F17"/>
    <w:rsid w:val="00E73FBE"/>
    <w:rsid w:val="00E82418"/>
    <w:rsid w:val="00E94532"/>
    <w:rsid w:val="00E953E3"/>
    <w:rsid w:val="00E979F5"/>
    <w:rsid w:val="00EA0231"/>
    <w:rsid w:val="00EA5513"/>
    <w:rsid w:val="00EB0D70"/>
    <w:rsid w:val="00EB21ED"/>
    <w:rsid w:val="00EB2D1F"/>
    <w:rsid w:val="00EB4341"/>
    <w:rsid w:val="00EB76AD"/>
    <w:rsid w:val="00EC4EBD"/>
    <w:rsid w:val="00EC7A0E"/>
    <w:rsid w:val="00ED22C0"/>
    <w:rsid w:val="00EE1276"/>
    <w:rsid w:val="00EE1B2A"/>
    <w:rsid w:val="00EE1D3A"/>
    <w:rsid w:val="00EE2930"/>
    <w:rsid w:val="00EE42E0"/>
    <w:rsid w:val="00EE548D"/>
    <w:rsid w:val="00EE72CB"/>
    <w:rsid w:val="00EE733E"/>
    <w:rsid w:val="00EF14A8"/>
    <w:rsid w:val="00F00CAB"/>
    <w:rsid w:val="00F04FFD"/>
    <w:rsid w:val="00F06075"/>
    <w:rsid w:val="00F2320C"/>
    <w:rsid w:val="00F23DCA"/>
    <w:rsid w:val="00F32D2F"/>
    <w:rsid w:val="00F338B9"/>
    <w:rsid w:val="00F518AC"/>
    <w:rsid w:val="00F611FC"/>
    <w:rsid w:val="00F6221F"/>
    <w:rsid w:val="00F63399"/>
    <w:rsid w:val="00F67DB6"/>
    <w:rsid w:val="00F70384"/>
    <w:rsid w:val="00F7417F"/>
    <w:rsid w:val="00F81141"/>
    <w:rsid w:val="00F81DEC"/>
    <w:rsid w:val="00F9127A"/>
    <w:rsid w:val="00F92138"/>
    <w:rsid w:val="00F93FCE"/>
    <w:rsid w:val="00F96415"/>
    <w:rsid w:val="00FA04A6"/>
    <w:rsid w:val="00FA1CF9"/>
    <w:rsid w:val="00FA4CDD"/>
    <w:rsid w:val="00FA6675"/>
    <w:rsid w:val="00FB7A2C"/>
    <w:rsid w:val="00FC20D6"/>
    <w:rsid w:val="00FC277F"/>
    <w:rsid w:val="00FC702F"/>
    <w:rsid w:val="00FD15C7"/>
    <w:rsid w:val="00FD22A5"/>
    <w:rsid w:val="00FD69DB"/>
    <w:rsid w:val="00FE25FA"/>
    <w:rsid w:val="00FE2F4D"/>
    <w:rsid w:val="00FE5686"/>
    <w:rsid w:val="00FE62C1"/>
    <w:rsid w:val="00FE6CE0"/>
    <w:rsid w:val="00FF09A5"/>
    <w:rsid w:val="025C30FA"/>
    <w:rsid w:val="03993510"/>
    <w:rsid w:val="0B9730BE"/>
    <w:rsid w:val="1C8B6CF2"/>
    <w:rsid w:val="25BF129D"/>
    <w:rsid w:val="29926CD9"/>
    <w:rsid w:val="33282174"/>
    <w:rsid w:val="3B33582F"/>
    <w:rsid w:val="427B20EB"/>
    <w:rsid w:val="469D5E88"/>
    <w:rsid w:val="470601EB"/>
    <w:rsid w:val="47814E1C"/>
    <w:rsid w:val="51920149"/>
    <w:rsid w:val="546C586F"/>
    <w:rsid w:val="56611371"/>
    <w:rsid w:val="5C52598D"/>
    <w:rsid w:val="5DE55E37"/>
    <w:rsid w:val="5E943824"/>
    <w:rsid w:val="60B76F39"/>
    <w:rsid w:val="633C4909"/>
    <w:rsid w:val="63F732CA"/>
    <w:rsid w:val="65044697"/>
    <w:rsid w:val="671E1CA4"/>
    <w:rsid w:val="68A94F1B"/>
    <w:rsid w:val="6AC87942"/>
    <w:rsid w:val="6DDE40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iPriority="99"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link w:val="42"/>
    <w:qFormat/>
    <w:uiPriority w:val="0"/>
    <w:pPr>
      <w:keepNext/>
      <w:keepLines/>
      <w:spacing w:before="340" w:after="330" w:line="578" w:lineRule="auto"/>
      <w:outlineLvl w:val="0"/>
    </w:pPr>
    <w:rPr>
      <w:b/>
      <w:bCs/>
      <w:kern w:val="44"/>
      <w:sz w:val="44"/>
      <w:szCs w:val="44"/>
    </w:rPr>
  </w:style>
  <w:style w:type="paragraph" w:styleId="3">
    <w:name w:val="heading 3"/>
    <w:basedOn w:val="1"/>
    <w:next w:val="1"/>
    <w:link w:val="18"/>
    <w:unhideWhenUsed/>
    <w:qFormat/>
    <w:uiPriority w:val="9"/>
    <w:pPr>
      <w:keepNext/>
      <w:keepLines/>
      <w:spacing w:before="260" w:after="260" w:line="416" w:lineRule="auto"/>
      <w:outlineLvl w:val="2"/>
    </w:pPr>
    <w:rPr>
      <w:b/>
      <w:bCs/>
      <w:sz w:val="32"/>
      <w:szCs w:val="32"/>
    </w:rPr>
  </w:style>
  <w:style w:type="paragraph" w:styleId="4">
    <w:name w:val="heading 4"/>
    <w:basedOn w:val="1"/>
    <w:next w:val="1"/>
    <w:link w:val="19"/>
    <w:unhideWhenUsed/>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List Number"/>
    <w:basedOn w:val="1"/>
    <w:link w:val="32"/>
    <w:qFormat/>
    <w:uiPriority w:val="0"/>
    <w:pPr>
      <w:numPr>
        <w:ilvl w:val="0"/>
        <w:numId w:val="1"/>
      </w:numPr>
      <w:contextualSpacing/>
    </w:pPr>
  </w:style>
  <w:style w:type="paragraph" w:styleId="6">
    <w:name w:val="caption"/>
    <w:basedOn w:val="1"/>
    <w:next w:val="1"/>
    <w:unhideWhenUsed/>
    <w:qFormat/>
    <w:uiPriority w:val="0"/>
    <w:rPr>
      <w:rFonts w:eastAsia="黑体" w:asciiTheme="majorHAnsi" w:hAnsiTheme="majorHAnsi" w:cstheme="majorBidi"/>
      <w:sz w:val="20"/>
      <w:szCs w:val="20"/>
    </w:rPr>
  </w:style>
  <w:style w:type="paragraph" w:styleId="7">
    <w:name w:val="Body Text"/>
    <w:basedOn w:val="1"/>
    <w:link w:val="20"/>
    <w:qFormat/>
    <w:uiPriority w:val="0"/>
    <w:pPr>
      <w:spacing w:after="120"/>
    </w:pPr>
    <w:rPr>
      <w:rFonts w:ascii="等线" w:hAnsi="等线"/>
      <w:sz w:val="24"/>
    </w:rPr>
  </w:style>
  <w:style w:type="paragraph" w:styleId="8">
    <w:name w:val="Date"/>
    <w:basedOn w:val="1"/>
    <w:next w:val="1"/>
    <w:link w:val="21"/>
    <w:unhideWhenUsed/>
    <w:qFormat/>
    <w:uiPriority w:val="99"/>
    <w:pPr>
      <w:ind w:left="100" w:leftChars="2500"/>
    </w:pPr>
    <w:rPr>
      <w:rFonts w:ascii="等线" w:hAnsi="等线"/>
      <w:sz w:val="24"/>
      <w:szCs w:val="22"/>
    </w:rPr>
  </w:style>
  <w:style w:type="paragraph" w:styleId="9">
    <w:name w:val="Balloon Text"/>
    <w:basedOn w:val="1"/>
    <w:link w:val="24"/>
    <w:semiHidden/>
    <w:qFormat/>
    <w:uiPriority w:val="0"/>
    <w:rPr>
      <w:sz w:val="18"/>
      <w:szCs w:val="18"/>
    </w:rPr>
  </w:style>
  <w:style w:type="paragraph" w:styleId="10">
    <w:name w:val="footer"/>
    <w:basedOn w:val="1"/>
    <w:link w:val="23"/>
    <w:qFormat/>
    <w:uiPriority w:val="99"/>
    <w:pPr>
      <w:tabs>
        <w:tab w:val="center" w:pos="4153"/>
        <w:tab w:val="right" w:pos="8306"/>
      </w:tabs>
      <w:snapToGrid w:val="0"/>
      <w:jc w:val="left"/>
    </w:pPr>
    <w:rPr>
      <w:sz w:val="18"/>
      <w:szCs w:val="18"/>
    </w:rPr>
  </w:style>
  <w:style w:type="paragraph" w:styleId="11">
    <w:name w:val="header"/>
    <w:basedOn w:val="1"/>
    <w:link w:val="22"/>
    <w:qFormat/>
    <w:uiPriority w:val="0"/>
    <w:pPr>
      <w:pBdr>
        <w:bottom w:val="single" w:color="auto" w:sz="6" w:space="1"/>
      </w:pBdr>
      <w:tabs>
        <w:tab w:val="center" w:pos="4153"/>
        <w:tab w:val="right" w:pos="8306"/>
      </w:tabs>
      <w:snapToGrid w:val="0"/>
      <w:jc w:val="center"/>
    </w:pPr>
    <w:rPr>
      <w:sz w:val="18"/>
      <w:szCs w:val="18"/>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Hyperlink"/>
    <w:unhideWhenUsed/>
    <w:qFormat/>
    <w:uiPriority w:val="99"/>
    <w:rPr>
      <w:color w:val="0563C1"/>
      <w:u w:val="single"/>
    </w:rPr>
  </w:style>
  <w:style w:type="character" w:customStyle="1" w:styleId="18">
    <w:name w:val="标题 3 字符"/>
    <w:basedOn w:val="15"/>
    <w:link w:val="3"/>
    <w:qFormat/>
    <w:uiPriority w:val="9"/>
    <w:rPr>
      <w:b/>
      <w:bCs/>
      <w:kern w:val="2"/>
      <w:sz w:val="32"/>
      <w:szCs w:val="32"/>
    </w:rPr>
  </w:style>
  <w:style w:type="character" w:customStyle="1" w:styleId="19">
    <w:name w:val="标题 4 字符"/>
    <w:basedOn w:val="15"/>
    <w:link w:val="4"/>
    <w:qFormat/>
    <w:uiPriority w:val="9"/>
    <w:rPr>
      <w:rFonts w:ascii="等线 Light" w:hAnsi="等线 Light" w:eastAsia="等线 Light"/>
      <w:b/>
      <w:bCs/>
      <w:kern w:val="2"/>
      <w:sz w:val="28"/>
      <w:szCs w:val="28"/>
    </w:rPr>
  </w:style>
  <w:style w:type="character" w:customStyle="1" w:styleId="20">
    <w:name w:val="正文文本 字符"/>
    <w:basedOn w:val="15"/>
    <w:link w:val="7"/>
    <w:qFormat/>
    <w:uiPriority w:val="0"/>
    <w:rPr>
      <w:rFonts w:ascii="等线" w:hAnsi="等线"/>
      <w:kern w:val="2"/>
      <w:sz w:val="24"/>
      <w:szCs w:val="24"/>
    </w:rPr>
  </w:style>
  <w:style w:type="character" w:customStyle="1" w:styleId="21">
    <w:name w:val="日期 字符"/>
    <w:basedOn w:val="15"/>
    <w:link w:val="8"/>
    <w:qFormat/>
    <w:uiPriority w:val="99"/>
    <w:rPr>
      <w:rFonts w:ascii="等线" w:hAnsi="等线"/>
      <w:kern w:val="2"/>
      <w:sz w:val="24"/>
      <w:szCs w:val="22"/>
    </w:rPr>
  </w:style>
  <w:style w:type="character" w:customStyle="1" w:styleId="22">
    <w:name w:val="页眉 字符"/>
    <w:link w:val="11"/>
    <w:qFormat/>
    <w:uiPriority w:val="0"/>
    <w:rPr>
      <w:kern w:val="2"/>
      <w:sz w:val="18"/>
      <w:szCs w:val="18"/>
    </w:rPr>
  </w:style>
  <w:style w:type="character" w:customStyle="1" w:styleId="23">
    <w:name w:val="页脚 字符"/>
    <w:link w:val="10"/>
    <w:uiPriority w:val="99"/>
    <w:rPr>
      <w:kern w:val="2"/>
      <w:sz w:val="18"/>
      <w:szCs w:val="18"/>
    </w:rPr>
  </w:style>
  <w:style w:type="character" w:customStyle="1" w:styleId="24">
    <w:name w:val="批注框文本 字符"/>
    <w:link w:val="9"/>
    <w:semiHidden/>
    <w:qFormat/>
    <w:uiPriority w:val="0"/>
    <w:rPr>
      <w:kern w:val="2"/>
      <w:sz w:val="18"/>
      <w:szCs w:val="18"/>
    </w:rPr>
  </w:style>
  <w:style w:type="paragraph" w:customStyle="1" w:styleId="25">
    <w:name w:val="EndNote Bibliography"/>
    <w:basedOn w:val="1"/>
    <w:link w:val="26"/>
    <w:qFormat/>
    <w:uiPriority w:val="0"/>
    <w:rPr>
      <w:rFonts w:cs="Calibri"/>
      <w:sz w:val="20"/>
    </w:rPr>
  </w:style>
  <w:style w:type="character" w:customStyle="1" w:styleId="26">
    <w:name w:val="EndNote Bibliography 字符"/>
    <w:link w:val="25"/>
    <w:qFormat/>
    <w:uiPriority w:val="0"/>
    <w:rPr>
      <w:rFonts w:cs="Calibri"/>
      <w:kern w:val="2"/>
      <w:szCs w:val="24"/>
    </w:rPr>
  </w:style>
  <w:style w:type="character" w:styleId="27">
    <w:name w:val="Placeholder Text"/>
    <w:unhideWhenUsed/>
    <w:qFormat/>
    <w:uiPriority w:val="99"/>
    <w:rPr>
      <w:color w:val="808080"/>
    </w:rPr>
  </w:style>
  <w:style w:type="character" w:customStyle="1" w:styleId="28">
    <w:name w:val="正文文本 字符1"/>
    <w:basedOn w:val="15"/>
    <w:qFormat/>
    <w:uiPriority w:val="0"/>
  </w:style>
  <w:style w:type="paragraph" w:customStyle="1" w:styleId="29">
    <w:name w:val="paragraph"/>
    <w:basedOn w:val="1"/>
    <w:semiHidden/>
    <w:qFormat/>
    <w:uiPriority w:val="0"/>
    <w:pPr>
      <w:widowControl/>
      <w:spacing w:before="100" w:beforeAutospacing="1" w:after="100" w:afterAutospacing="1" w:line="360" w:lineRule="auto"/>
      <w:jc w:val="left"/>
    </w:pPr>
    <w:rPr>
      <w:rFonts w:ascii="等线" w:hAnsi="等线" w:eastAsia="等线"/>
      <w:kern w:val="0"/>
      <w:sz w:val="24"/>
    </w:rPr>
  </w:style>
  <w:style w:type="paragraph" w:styleId="30">
    <w:name w:val="List Paragraph"/>
    <w:basedOn w:val="1"/>
    <w:qFormat/>
    <w:uiPriority w:val="99"/>
    <w:pPr>
      <w:ind w:firstLine="420" w:firstLineChars="200"/>
    </w:pPr>
    <w:rPr>
      <w:rFonts w:ascii="等线" w:hAnsi="等线"/>
      <w:sz w:val="24"/>
      <w:szCs w:val="22"/>
    </w:rPr>
  </w:style>
  <w:style w:type="paragraph" w:customStyle="1" w:styleId="31">
    <w:name w:val="公式编号"/>
    <w:basedOn w:val="5"/>
    <w:link w:val="33"/>
    <w:qFormat/>
    <w:uiPriority w:val="0"/>
    <w:pPr>
      <w:spacing w:line="360" w:lineRule="auto"/>
    </w:pPr>
  </w:style>
  <w:style w:type="character" w:customStyle="1" w:styleId="32">
    <w:name w:val="列表编号 字符"/>
    <w:basedOn w:val="15"/>
    <w:link w:val="5"/>
    <w:uiPriority w:val="0"/>
    <w:rPr>
      <w:kern w:val="2"/>
      <w:sz w:val="21"/>
      <w:szCs w:val="24"/>
    </w:rPr>
  </w:style>
  <w:style w:type="character" w:customStyle="1" w:styleId="33">
    <w:name w:val="公式编号 字符"/>
    <w:basedOn w:val="32"/>
    <w:link w:val="31"/>
    <w:qFormat/>
    <w:uiPriority w:val="0"/>
    <w:rPr>
      <w:kern w:val="2"/>
      <w:sz w:val="21"/>
      <w:szCs w:val="24"/>
    </w:rPr>
  </w:style>
  <w:style w:type="character" w:customStyle="1" w:styleId="34">
    <w:name w:val="katex-mathml"/>
    <w:basedOn w:val="15"/>
    <w:qFormat/>
    <w:uiPriority w:val="0"/>
  </w:style>
  <w:style w:type="character" w:customStyle="1" w:styleId="35">
    <w:name w:val="mord"/>
    <w:basedOn w:val="15"/>
    <w:qFormat/>
    <w:uiPriority w:val="0"/>
  </w:style>
  <w:style w:type="character" w:customStyle="1" w:styleId="36">
    <w:name w:val="vlist-s"/>
    <w:basedOn w:val="15"/>
    <w:qFormat/>
    <w:uiPriority w:val="0"/>
  </w:style>
  <w:style w:type="character" w:customStyle="1" w:styleId="37">
    <w:name w:val="mopen"/>
    <w:basedOn w:val="15"/>
    <w:qFormat/>
    <w:uiPriority w:val="0"/>
  </w:style>
  <w:style w:type="character" w:customStyle="1" w:styleId="38">
    <w:name w:val="mclose"/>
    <w:basedOn w:val="15"/>
    <w:qFormat/>
    <w:uiPriority w:val="0"/>
  </w:style>
  <w:style w:type="character" w:customStyle="1" w:styleId="39">
    <w:name w:val="mrel"/>
    <w:basedOn w:val="15"/>
    <w:qFormat/>
    <w:uiPriority w:val="0"/>
  </w:style>
  <w:style w:type="character" w:customStyle="1" w:styleId="40">
    <w:name w:val="mbin"/>
    <w:basedOn w:val="15"/>
    <w:qFormat/>
    <w:uiPriority w:val="0"/>
  </w:style>
  <w:style w:type="character" w:customStyle="1" w:styleId="41">
    <w:name w:val="mpunct"/>
    <w:basedOn w:val="15"/>
    <w:qFormat/>
    <w:uiPriority w:val="0"/>
  </w:style>
  <w:style w:type="character" w:customStyle="1" w:styleId="42">
    <w:name w:val="标题 1 字符"/>
    <w:basedOn w:val="15"/>
    <w:link w:val="2"/>
    <w:qFormat/>
    <w:uiPriority w:val="0"/>
    <w:rPr>
      <w:b/>
      <w:bCs/>
      <w:kern w:val="44"/>
      <w:sz w:val="44"/>
      <w:szCs w:val="44"/>
    </w:rPr>
  </w:style>
  <w:style w:type="character" w:customStyle="1" w:styleId="43">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77DE1-1EDB-48F0-ADC6-4CD055FD77BB}">
  <ds:schemaRefs/>
</ds:datastoreItem>
</file>

<file path=docProps/app.xml><?xml version="1.0" encoding="utf-8"?>
<Properties xmlns="http://schemas.openxmlformats.org/officeDocument/2006/extended-properties" xmlns:vt="http://schemas.openxmlformats.org/officeDocument/2006/docPropsVTypes">
  <Template>Normal</Template>
  <Company>pyb</Company>
  <Pages>22</Pages>
  <Words>2597</Words>
  <Characters>2892</Characters>
  <Lines>189</Lines>
  <Paragraphs>53</Paragraphs>
  <TotalTime>327</TotalTime>
  <ScaleCrop>false</ScaleCrop>
  <LinksUpToDate>false</LinksUpToDate>
  <CharactersWithSpaces>2936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2025-07-08T14:26:00Z</dcterms:created>
  <dc:creator>llm</dc:creator>
  <cp:lastModifiedBy>晚风</cp:lastModifiedBy>
  <cp:lastPrinted>2025-07-17T11:29:00Z</cp:lastPrinted>
  <dcterms:modified xsi:type="dcterms:W3CDTF">2026-06-25T00:45:44Z</dcterms:modified>
  <dc:title>河北工业大学</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eyJoZGlkIjoiYWE5NjVmYTg0NTkyNGU4YjEwMGEwMjFkNGZkNTQyYWIiLCJ1c2VySWQiOiI3NTYwODE3MDYifQ==</vt:lpwstr>
  </property>
  <property fmtid="{D5CDD505-2E9C-101B-9397-08002B2CF9AE}" pid="4" name="ICV">
    <vt:lpwstr>0FACDBFD4BBF417BB38E15759C6A4714_12</vt:lpwstr>
  </property>
</Properties>
</file>