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F14" w:rsidRDefault="00790F14">
      <w:pPr>
        <w:pStyle w:val="ConsPlusNormal"/>
        <w:jc w:val="center"/>
        <w:outlineLvl w:val="0"/>
      </w:pPr>
      <w:r>
        <w:t>Задача № 27</w:t>
      </w:r>
    </w:p>
    <w:p w:rsidR="00790F14" w:rsidRDefault="00790F14">
      <w:pPr>
        <w:pStyle w:val="ConsPlusNormal"/>
        <w:jc w:val="center"/>
        <w:outlineLvl w:val="0"/>
      </w:pPr>
    </w:p>
    <w:p w:rsidR="00790F14" w:rsidRDefault="00790F14" w:rsidP="00790F14">
      <w:pPr>
        <w:pStyle w:val="ConsPlusNormal"/>
        <w:numPr>
          <w:ilvl w:val="0"/>
          <w:numId w:val="1"/>
        </w:numPr>
        <w:outlineLvl w:val="0"/>
      </w:pPr>
      <w:r>
        <w:t>Создать отчет, наименование ГР_18.01_</w:t>
      </w:r>
      <w:proofErr w:type="gramStart"/>
      <w:r>
        <w:t>2025,  шаблон</w:t>
      </w:r>
      <w:proofErr w:type="gramEnd"/>
      <w:r>
        <w:t xml:space="preserve"> таблицы ниже.</w:t>
      </w:r>
    </w:p>
    <w:p w:rsidR="00790F14" w:rsidRDefault="00790F14" w:rsidP="00790F14">
      <w:pPr>
        <w:pStyle w:val="ConsPlusNormal"/>
        <w:numPr>
          <w:ilvl w:val="0"/>
          <w:numId w:val="1"/>
        </w:numPr>
        <w:outlineLvl w:val="0"/>
      </w:pPr>
      <w:r>
        <w:t>Автоматизировать заполнение отчета, порядок прописан в самой таблице.</w:t>
      </w:r>
    </w:p>
    <w:p w:rsidR="00790F14" w:rsidRPr="00790F14" w:rsidRDefault="00790F14" w:rsidP="00790F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90F14">
        <w:rPr>
          <w:rFonts w:ascii="Calibri" w:hAnsi="Calibri" w:cs="Calibri"/>
        </w:rPr>
        <w:t xml:space="preserve">Значения </w:t>
      </w:r>
      <w:hyperlink r:id="rId5" w:history="1">
        <w:r w:rsidRPr="00790F14">
          <w:rPr>
            <w:rFonts w:ascii="Calibri" w:hAnsi="Calibri" w:cs="Calibri"/>
            <w:color w:val="0000FF"/>
          </w:rPr>
          <w:t xml:space="preserve">показателей </w:t>
        </w:r>
        <w:r>
          <w:rPr>
            <w:rFonts w:ascii="Calibri" w:hAnsi="Calibri" w:cs="Calibri"/>
            <w:color w:val="0000FF"/>
          </w:rPr>
          <w:t xml:space="preserve">строк </w:t>
        </w:r>
        <w:r w:rsidRPr="00790F14">
          <w:rPr>
            <w:rFonts w:ascii="Calibri" w:hAnsi="Calibri" w:cs="Calibri"/>
            <w:color w:val="0000FF"/>
          </w:rPr>
          <w:t>3</w:t>
        </w:r>
      </w:hyperlink>
      <w:r w:rsidRPr="00790F14">
        <w:rPr>
          <w:rFonts w:ascii="Calibri" w:hAnsi="Calibri" w:cs="Calibri"/>
        </w:rPr>
        <w:t xml:space="preserve">, </w:t>
      </w:r>
      <w:hyperlink r:id="rId6" w:history="1">
        <w:r w:rsidRPr="00790F14">
          <w:rPr>
            <w:rFonts w:ascii="Calibri" w:hAnsi="Calibri" w:cs="Calibri"/>
            <w:color w:val="0000FF"/>
          </w:rPr>
          <w:t>4</w:t>
        </w:r>
      </w:hyperlink>
      <w:r w:rsidRPr="00790F14">
        <w:rPr>
          <w:rFonts w:ascii="Calibri" w:hAnsi="Calibri" w:cs="Calibri"/>
        </w:rPr>
        <w:t xml:space="preserve">, </w:t>
      </w:r>
      <w:hyperlink r:id="rId7" w:history="1">
        <w:r w:rsidRPr="00790F14">
          <w:rPr>
            <w:rFonts w:ascii="Calibri" w:hAnsi="Calibri" w:cs="Calibri"/>
            <w:color w:val="0000FF"/>
          </w:rPr>
          <w:t>7</w:t>
        </w:r>
      </w:hyperlink>
      <w:r w:rsidRPr="00790F14">
        <w:rPr>
          <w:rFonts w:ascii="Calibri" w:hAnsi="Calibri" w:cs="Calibri"/>
        </w:rPr>
        <w:t xml:space="preserve"> - </w:t>
      </w:r>
      <w:hyperlink r:id="rId8" w:history="1">
        <w:r w:rsidRPr="00790F14">
          <w:rPr>
            <w:rFonts w:ascii="Calibri" w:hAnsi="Calibri" w:cs="Calibri"/>
            <w:color w:val="0000FF"/>
          </w:rPr>
          <w:t>9</w:t>
        </w:r>
      </w:hyperlink>
      <w:r w:rsidRPr="00790F14">
        <w:rPr>
          <w:rFonts w:ascii="Calibri" w:hAnsi="Calibri" w:cs="Calibri"/>
        </w:rPr>
        <w:t xml:space="preserve">, </w:t>
      </w:r>
      <w:hyperlink r:id="rId9" w:history="1">
        <w:r w:rsidRPr="00790F14">
          <w:rPr>
            <w:rFonts w:ascii="Calibri" w:hAnsi="Calibri" w:cs="Calibri"/>
            <w:color w:val="0000FF"/>
          </w:rPr>
          <w:t>12</w:t>
        </w:r>
      </w:hyperlink>
      <w:r w:rsidRPr="00790F14">
        <w:rPr>
          <w:rFonts w:ascii="Calibri" w:hAnsi="Calibri" w:cs="Calibri"/>
        </w:rPr>
        <w:t xml:space="preserve"> - </w:t>
      </w:r>
      <w:hyperlink r:id="rId10" w:history="1">
        <w:r w:rsidRPr="00790F14">
          <w:rPr>
            <w:rFonts w:ascii="Calibri" w:hAnsi="Calibri" w:cs="Calibri"/>
            <w:color w:val="0000FF"/>
          </w:rPr>
          <w:t>15</w:t>
        </w:r>
      </w:hyperlink>
      <w:r w:rsidRPr="00790F14">
        <w:rPr>
          <w:rFonts w:ascii="Calibri" w:hAnsi="Calibri" w:cs="Calibri"/>
        </w:rPr>
        <w:t xml:space="preserve">, </w:t>
      </w:r>
      <w:hyperlink r:id="rId11" w:history="1">
        <w:r w:rsidRPr="00790F14">
          <w:rPr>
            <w:rFonts w:ascii="Calibri" w:hAnsi="Calibri" w:cs="Calibri"/>
            <w:color w:val="0000FF"/>
          </w:rPr>
          <w:t>25</w:t>
        </w:r>
      </w:hyperlink>
      <w:r w:rsidRPr="00790F14">
        <w:rPr>
          <w:rFonts w:ascii="Calibri" w:hAnsi="Calibri" w:cs="Calibri"/>
        </w:rPr>
        <w:t xml:space="preserve">, </w:t>
      </w:r>
      <w:hyperlink r:id="rId12" w:history="1">
        <w:r w:rsidRPr="00790F14">
          <w:rPr>
            <w:rFonts w:ascii="Calibri" w:hAnsi="Calibri" w:cs="Calibri"/>
            <w:color w:val="0000FF"/>
          </w:rPr>
          <w:t>26</w:t>
        </w:r>
      </w:hyperlink>
      <w:r w:rsidRPr="00790F14">
        <w:rPr>
          <w:rFonts w:ascii="Calibri" w:hAnsi="Calibri" w:cs="Calibri"/>
        </w:rPr>
        <w:t xml:space="preserve">, </w:t>
      </w:r>
      <w:hyperlink r:id="rId13" w:history="1">
        <w:r w:rsidRPr="00790F14">
          <w:rPr>
            <w:rFonts w:ascii="Calibri" w:hAnsi="Calibri" w:cs="Calibri"/>
            <w:color w:val="0000FF"/>
          </w:rPr>
          <w:t>29</w:t>
        </w:r>
      </w:hyperlink>
      <w:r w:rsidRPr="00790F14">
        <w:rPr>
          <w:rFonts w:ascii="Calibri" w:hAnsi="Calibri" w:cs="Calibri"/>
        </w:rPr>
        <w:t xml:space="preserve">, </w:t>
      </w:r>
      <w:hyperlink r:id="rId14" w:history="1">
        <w:r w:rsidRPr="00790F14">
          <w:rPr>
            <w:rFonts w:ascii="Calibri" w:hAnsi="Calibri" w:cs="Calibri"/>
            <w:color w:val="0000FF"/>
          </w:rPr>
          <w:t>30</w:t>
        </w:r>
      </w:hyperlink>
      <w:r w:rsidRPr="00790F14">
        <w:rPr>
          <w:rFonts w:ascii="Calibri" w:hAnsi="Calibri" w:cs="Calibri"/>
        </w:rPr>
        <w:t xml:space="preserve">, </w:t>
      </w:r>
      <w:hyperlink r:id="rId15" w:history="1">
        <w:r w:rsidRPr="00790F14">
          <w:rPr>
            <w:rFonts w:ascii="Calibri" w:hAnsi="Calibri" w:cs="Calibri"/>
            <w:color w:val="0000FF"/>
          </w:rPr>
          <w:t>33</w:t>
        </w:r>
      </w:hyperlink>
      <w:r w:rsidRPr="00790F14">
        <w:rPr>
          <w:rFonts w:ascii="Calibri" w:hAnsi="Calibri" w:cs="Calibri"/>
        </w:rPr>
        <w:t xml:space="preserve"> - </w:t>
      </w:r>
      <w:hyperlink r:id="rId16" w:history="1">
        <w:r w:rsidRPr="00790F14">
          <w:rPr>
            <w:rFonts w:ascii="Calibri" w:hAnsi="Calibri" w:cs="Calibri"/>
            <w:color w:val="0000FF"/>
          </w:rPr>
          <w:t>35</w:t>
        </w:r>
      </w:hyperlink>
      <w:r w:rsidRPr="00790F14">
        <w:rPr>
          <w:rFonts w:ascii="Calibri" w:hAnsi="Calibri" w:cs="Calibri"/>
        </w:rPr>
        <w:t xml:space="preserve">, </w:t>
      </w:r>
      <w:hyperlink r:id="rId17" w:history="1">
        <w:r w:rsidRPr="00790F14">
          <w:rPr>
            <w:rFonts w:ascii="Calibri" w:hAnsi="Calibri" w:cs="Calibri"/>
            <w:color w:val="0000FF"/>
          </w:rPr>
          <w:t>38</w:t>
        </w:r>
      </w:hyperlink>
      <w:r w:rsidRPr="00790F14">
        <w:rPr>
          <w:rFonts w:ascii="Calibri" w:hAnsi="Calibri" w:cs="Calibri"/>
        </w:rPr>
        <w:t xml:space="preserve"> - </w:t>
      </w:r>
      <w:hyperlink r:id="rId18" w:history="1">
        <w:r w:rsidRPr="00790F14">
          <w:rPr>
            <w:rFonts w:ascii="Calibri" w:hAnsi="Calibri" w:cs="Calibri"/>
            <w:color w:val="0000FF"/>
          </w:rPr>
          <w:t>41</w:t>
        </w:r>
      </w:hyperlink>
      <w:r w:rsidRPr="00790F14">
        <w:rPr>
          <w:rFonts w:ascii="Calibri" w:hAnsi="Calibri" w:cs="Calibri"/>
        </w:rPr>
        <w:t xml:space="preserve">, </w:t>
      </w:r>
      <w:hyperlink r:id="rId19" w:history="1">
        <w:r w:rsidRPr="00790F14">
          <w:rPr>
            <w:rFonts w:ascii="Calibri" w:hAnsi="Calibri" w:cs="Calibri"/>
            <w:color w:val="0000FF"/>
          </w:rPr>
          <w:t>51</w:t>
        </w:r>
      </w:hyperlink>
      <w:r w:rsidRPr="00790F14">
        <w:rPr>
          <w:rFonts w:ascii="Calibri" w:hAnsi="Calibri" w:cs="Calibri"/>
        </w:rPr>
        <w:t xml:space="preserve"> и </w:t>
      </w:r>
      <w:hyperlink r:id="rId20" w:history="1">
        <w:r w:rsidRPr="00790F14">
          <w:rPr>
            <w:rFonts w:ascii="Calibri" w:hAnsi="Calibri" w:cs="Calibri"/>
            <w:color w:val="0000FF"/>
          </w:rPr>
          <w:t>52</w:t>
        </w:r>
      </w:hyperlink>
      <w:r w:rsidRPr="00790F14">
        <w:rPr>
          <w:rFonts w:ascii="Calibri" w:hAnsi="Calibri" w:cs="Calibri"/>
        </w:rPr>
        <w:t xml:space="preserve"> таблицы указываются со знаком "минус".</w:t>
      </w:r>
    </w:p>
    <w:p w:rsidR="00790F14" w:rsidRDefault="00790F14" w:rsidP="00790F14">
      <w:pPr>
        <w:pStyle w:val="ConsPlusNormal"/>
        <w:outlineLvl w:val="0"/>
      </w:pPr>
    </w:p>
    <w:p w:rsidR="00790F14" w:rsidRDefault="00790F14" w:rsidP="00790F14">
      <w:pPr>
        <w:pStyle w:val="ConsPlusNormal"/>
        <w:outlineLvl w:val="0"/>
      </w:pPr>
    </w:p>
    <w:p w:rsidR="00790F14" w:rsidRDefault="00790F14">
      <w:pPr>
        <w:pStyle w:val="ConsPlusNormal"/>
        <w:jc w:val="center"/>
        <w:outlineLvl w:val="0"/>
      </w:pPr>
    </w:p>
    <w:p w:rsidR="00790F14" w:rsidRDefault="00790F14" w:rsidP="00790F14">
      <w:pPr>
        <w:pStyle w:val="ConsPlusNormal"/>
        <w:outlineLvl w:val="0"/>
      </w:pPr>
      <w:r>
        <w:t>Примечание 18. Нематериальные активы и капитальные вложения в них</w:t>
      </w:r>
    </w:p>
    <w:p w:rsidR="00790F14" w:rsidRDefault="00790F14">
      <w:pPr>
        <w:pStyle w:val="ConsPlusNormal"/>
        <w:ind w:firstLine="540"/>
        <w:jc w:val="both"/>
      </w:pPr>
    </w:p>
    <w:p w:rsidR="00790F14" w:rsidRDefault="00790F14" w:rsidP="00790F14">
      <w:pPr>
        <w:pStyle w:val="ConsPlusNormal"/>
        <w:outlineLvl w:val="1"/>
      </w:pPr>
      <w:r>
        <w:t>Нематериальные активы и капитальные вложения в них</w:t>
      </w:r>
    </w:p>
    <w:p w:rsidR="00790F14" w:rsidRDefault="00790F14">
      <w:pPr>
        <w:pStyle w:val="ConsPlusNormal"/>
        <w:ind w:firstLine="540"/>
        <w:jc w:val="both"/>
      </w:pPr>
    </w:p>
    <w:p w:rsidR="00790F14" w:rsidRDefault="00790F14">
      <w:pPr>
        <w:pStyle w:val="ConsPlusNormal"/>
        <w:jc w:val="right"/>
      </w:pPr>
      <w:r>
        <w:t>Таблица 18.1</w:t>
      </w:r>
    </w:p>
    <w:p w:rsidR="00790F14" w:rsidRDefault="00790F14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3401"/>
        <w:gridCol w:w="1201"/>
        <w:gridCol w:w="1201"/>
        <w:gridCol w:w="1201"/>
        <w:gridCol w:w="1201"/>
        <w:gridCol w:w="1201"/>
        <w:gridCol w:w="1201"/>
        <w:gridCol w:w="1201"/>
        <w:gridCol w:w="1204"/>
      </w:tblGrid>
      <w:tr w:rsidR="00790F14">
        <w:tc>
          <w:tcPr>
            <w:tcW w:w="680" w:type="dxa"/>
            <w:vMerge w:val="restart"/>
          </w:tcPr>
          <w:p w:rsidR="00790F14" w:rsidRDefault="00790F14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401" w:type="dxa"/>
            <w:vMerge w:val="restart"/>
          </w:tcPr>
          <w:p w:rsidR="00790F14" w:rsidRDefault="00790F14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3603" w:type="dxa"/>
            <w:gridSpan w:val="3"/>
          </w:tcPr>
          <w:p w:rsidR="00790F14" w:rsidRDefault="00790F14">
            <w:pPr>
              <w:pStyle w:val="ConsPlusNormal"/>
              <w:jc w:val="center"/>
            </w:pPr>
            <w:r>
              <w:t>Нематериальные активы, приобретенные</w:t>
            </w:r>
          </w:p>
        </w:tc>
        <w:tc>
          <w:tcPr>
            <w:tcW w:w="3603" w:type="dxa"/>
            <w:gridSpan w:val="3"/>
          </w:tcPr>
          <w:p w:rsidR="00790F14" w:rsidRDefault="00790F14">
            <w:pPr>
              <w:pStyle w:val="ConsPlusNormal"/>
              <w:jc w:val="center"/>
            </w:pPr>
            <w:r>
              <w:t>Нематериальные активы, созданные самостоятельно</w:t>
            </w:r>
          </w:p>
        </w:tc>
        <w:tc>
          <w:tcPr>
            <w:tcW w:w="1201" w:type="dxa"/>
            <w:vMerge w:val="restart"/>
          </w:tcPr>
          <w:p w:rsidR="00790F14" w:rsidRDefault="00790F14">
            <w:pPr>
              <w:pStyle w:val="ConsPlusNormal"/>
              <w:jc w:val="center"/>
            </w:pPr>
            <w:r>
              <w:t>Капитальные вложения в объекты нематериальных активов</w:t>
            </w:r>
          </w:p>
        </w:tc>
        <w:tc>
          <w:tcPr>
            <w:tcW w:w="1204" w:type="dxa"/>
            <w:vMerge w:val="restart"/>
          </w:tcPr>
          <w:p w:rsidR="00790F14" w:rsidRDefault="00790F14">
            <w:pPr>
              <w:pStyle w:val="ConsPlusNormal"/>
              <w:jc w:val="center"/>
            </w:pPr>
            <w:r>
              <w:t>Итого</w:t>
            </w:r>
          </w:p>
        </w:tc>
      </w:tr>
      <w:tr w:rsidR="00790F14">
        <w:tc>
          <w:tcPr>
            <w:tcW w:w="680" w:type="dxa"/>
            <w:vMerge/>
          </w:tcPr>
          <w:p w:rsidR="00790F14" w:rsidRDefault="00790F14">
            <w:pPr>
              <w:pStyle w:val="ConsPlusNormal"/>
            </w:pPr>
          </w:p>
        </w:tc>
        <w:tc>
          <w:tcPr>
            <w:tcW w:w="3401" w:type="dxa"/>
            <w:vMerge/>
          </w:tcPr>
          <w:p w:rsidR="00790F14" w:rsidRDefault="00790F14">
            <w:pPr>
              <w:pStyle w:val="ConsPlusNormal"/>
            </w:pP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программное обеспечение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лицензии и франшизы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программное обеспечение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лицензии и франшизы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201" w:type="dxa"/>
            <w:vMerge/>
          </w:tcPr>
          <w:p w:rsidR="00790F14" w:rsidRDefault="00790F14">
            <w:pPr>
              <w:pStyle w:val="ConsPlusNormal"/>
            </w:pPr>
          </w:p>
        </w:tc>
        <w:tc>
          <w:tcPr>
            <w:tcW w:w="1204" w:type="dxa"/>
            <w:vMerge/>
          </w:tcPr>
          <w:p w:rsidR="00790F14" w:rsidRDefault="00790F14">
            <w:pPr>
              <w:pStyle w:val="ConsPlusNormal"/>
            </w:pPr>
          </w:p>
        </w:tc>
      </w:tr>
      <w:tr w:rsidR="00790F14">
        <w:tc>
          <w:tcPr>
            <w:tcW w:w="680" w:type="dxa"/>
          </w:tcPr>
          <w:p w:rsidR="00790F14" w:rsidRDefault="00790F1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</w:tcPr>
          <w:p w:rsidR="00790F14" w:rsidRDefault="00790F1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201" w:type="dxa"/>
          </w:tcPr>
          <w:p w:rsidR="00790F14" w:rsidRDefault="00790F14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204" w:type="dxa"/>
          </w:tcPr>
          <w:p w:rsidR="00790F14" w:rsidRDefault="00790F14">
            <w:pPr>
              <w:pStyle w:val="ConsPlusNormal"/>
              <w:jc w:val="center"/>
            </w:pPr>
            <w:r>
              <w:t>10</w:t>
            </w:r>
          </w:p>
        </w:tc>
      </w:tr>
      <w:tr w:rsidR="00790F14">
        <w:tc>
          <w:tcPr>
            <w:tcW w:w="680" w:type="dxa"/>
          </w:tcPr>
          <w:p w:rsidR="00790F14" w:rsidRDefault="00790F1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</w:tcPr>
          <w:p w:rsidR="00790F14" w:rsidRDefault="00790F14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1201" w:type="dxa"/>
          </w:tcPr>
          <w:p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1" w:type="dxa"/>
          </w:tcPr>
          <w:p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строка 2 + строка 3 + строка 4</w:t>
            </w:r>
          </w:p>
        </w:tc>
        <w:tc>
          <w:tcPr>
            <w:tcW w:w="1204" w:type="dxa"/>
          </w:tcPr>
          <w:p w:rsidR="00790F14" w:rsidRPr="00790F14" w:rsidRDefault="00790F14">
            <w:pPr>
              <w:pStyle w:val="ConsPlusNormal"/>
              <w:rPr>
                <w:color w:val="00B0F0"/>
              </w:rPr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lastRenderedPageBreak/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lastRenderedPageBreak/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>предыдущего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lastRenderedPageBreak/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>предыдущего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столбец 3 + столбец 4 </w:t>
            </w:r>
            <w:r w:rsidRPr="00790F14">
              <w:rPr>
                <w:color w:val="00B0F0"/>
              </w:rPr>
              <w:lastRenderedPageBreak/>
              <w:t>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r>
              <w:t>Поступление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 xml:space="preserve">.ПС  </w:t>
            </w:r>
            <w:r w:rsidRPr="0005313D">
              <w:rPr>
                <w:color w:val="00B0F0"/>
              </w:rPr>
              <w:lastRenderedPageBreak/>
              <w:t>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 xml:space="preserve">.ПС  </w:t>
            </w:r>
            <w:r w:rsidRPr="0005313D">
              <w:rPr>
                <w:color w:val="00B0F0"/>
              </w:rPr>
              <w:lastRenderedPageBreak/>
              <w:t>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 xml:space="preserve">.ПС  </w:t>
            </w:r>
            <w:r w:rsidRPr="0005313D">
              <w:rPr>
                <w:color w:val="00B0F0"/>
              </w:rPr>
              <w:lastRenderedPageBreak/>
              <w:t>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столбец 3 + столбец 4 + столбец 5 +столбец 6 </w:t>
            </w:r>
            <w:r w:rsidRPr="00790F14">
              <w:rPr>
                <w:color w:val="00B0F0"/>
              </w:rPr>
              <w:lastRenderedPageBreak/>
              <w:t>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6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Перевод капитальных вложений в нематериальные активы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активы (активы выбывающих групп), классифицированные как предназначенные для продажи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 xml:space="preserve">(НФО) «Программное обеспечение»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 xml:space="preserve">кредиту </w:t>
            </w:r>
            <w:r w:rsidRPr="0005313D">
              <w:rPr>
                <w:color w:val="00B0F0"/>
              </w:rPr>
              <w:t xml:space="preserve">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>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 xml:space="preserve">кредиту </w:t>
            </w:r>
            <w:r w:rsidRPr="0005313D">
              <w:rPr>
                <w:color w:val="00B0F0"/>
              </w:rPr>
              <w:t xml:space="preserve">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>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столбец 3 + столбец 4 + столбец 5 +столбец 6 + столбец 7 +столбец 8 </w:t>
            </w:r>
            <w:r w:rsidRPr="00790F14">
              <w:rPr>
                <w:color w:val="00B0F0"/>
              </w:rPr>
              <w:lastRenderedPageBreak/>
              <w:t>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10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r>
              <w:t>Амортизация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 xml:space="preserve">(НФО) «Программное обеспечение»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lastRenderedPageBreak/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>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lastRenderedPageBreak/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>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столбец 3 + столбец 4 + столбец 5 +столбец 6 + столбец 7 +столбец 8 </w:t>
            </w:r>
            <w:r w:rsidRPr="00790F14">
              <w:rPr>
                <w:color w:val="00B0F0"/>
              </w:rPr>
              <w:lastRenderedPageBreak/>
              <w:t>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13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:rsidR="00377E9F" w:rsidRPr="00AD44F3" w:rsidRDefault="00377E9F" w:rsidP="00377E9F">
            <w:pPr>
              <w:pStyle w:val="ConsPlusNormal"/>
              <w:rPr>
                <w:b/>
              </w:rPr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14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15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1" w:type="dxa"/>
          </w:tcPr>
          <w:p w:rsidR="00377E9F" w:rsidRPr="009B366B" w:rsidRDefault="00377E9F" w:rsidP="00377E9F">
            <w:pPr>
              <w:pStyle w:val="ConsPlusNormal"/>
              <w:rPr>
                <w:lang w:val="en-US"/>
              </w:rPr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17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18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18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r>
              <w:t>Прочее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>=строка 1 + строка 5 + строка 6 + строка 7 + строка 8 + строка 12 + строка 13 + строка 16 + строка 19 + строка 22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 xml:space="preserve">(НФО) «Программное обеспечение»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>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>предыдущего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lastRenderedPageBreak/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lastRenderedPageBreak/>
              <w:t>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>предыдущего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столбец 3 + столбец 4 + столбец 5 +столбец 6 + столбец 7 </w:t>
            </w:r>
            <w:r w:rsidRPr="00790F14">
              <w:rPr>
                <w:color w:val="00B0F0"/>
              </w:rPr>
              <w:lastRenderedPageBreak/>
              <w:t>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25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29 + строка 30</w:t>
            </w:r>
          </w:p>
        </w:tc>
        <w:tc>
          <w:tcPr>
            <w:tcW w:w="1204" w:type="dxa"/>
          </w:tcPr>
          <w:p w:rsidR="00377E9F" w:rsidRPr="0041243A" w:rsidRDefault="00377E9F" w:rsidP="00377E9F">
            <w:pPr>
              <w:pStyle w:val="ConsPlusNormal"/>
              <w:rPr>
                <w:lang w:val="en-US"/>
              </w:rPr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28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начало отчетного 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начало отчетного 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r>
              <w:t>Поступление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 xml:space="preserve">.ПС  </w:t>
            </w:r>
            <w:r w:rsidRPr="0005313D">
              <w:rPr>
                <w:color w:val="00B0F0"/>
              </w:rPr>
              <w:lastRenderedPageBreak/>
              <w:t>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 xml:space="preserve">.ПС  </w:t>
            </w:r>
            <w:r w:rsidRPr="0005313D">
              <w:rPr>
                <w:color w:val="00B0F0"/>
              </w:rPr>
              <w:lastRenderedPageBreak/>
              <w:t>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отчетном 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 xml:space="preserve">.ПС  </w:t>
            </w:r>
            <w:r w:rsidRPr="0005313D">
              <w:rPr>
                <w:color w:val="00B0F0"/>
              </w:rPr>
              <w:lastRenderedPageBreak/>
              <w:t>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отчетном периоде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столбец 3 + столбец 4 + столбец 5 +столбец 6 </w:t>
            </w:r>
            <w:r w:rsidRPr="00790F14">
              <w:rPr>
                <w:color w:val="00B0F0"/>
              </w:rPr>
              <w:lastRenderedPageBreak/>
              <w:t>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32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Перевод капитальных вложений в нематериальные активы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активы (активы выбывающих групп), классифицированные как предназначенные для продажи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201" w:type="dxa"/>
          </w:tcPr>
          <w:p w:rsidR="00377E9F" w:rsidRPr="0041243A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35 + строка 36 + строка 37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</w:t>
            </w:r>
            <w:r w:rsidRPr="0005313D">
              <w:rPr>
                <w:color w:val="00B0F0"/>
              </w:rPr>
              <w:lastRenderedPageBreak/>
              <w:t xml:space="preserve">ное обеспечение»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 xml:space="preserve">кредиту </w:t>
            </w:r>
            <w:r w:rsidRPr="0005313D">
              <w:rPr>
                <w:color w:val="00B0F0"/>
              </w:rPr>
              <w:t xml:space="preserve">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 xml:space="preserve">Лицензии </w:t>
            </w:r>
            <w:r>
              <w:rPr>
                <w:color w:val="00B0F0"/>
              </w:rPr>
              <w:lastRenderedPageBreak/>
              <w:t>и франшизы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отчетном 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>
              <w:rPr>
                <w:color w:val="00B0F0"/>
              </w:rPr>
              <w:lastRenderedPageBreak/>
              <w:t xml:space="preserve">Оборот по </w:t>
            </w:r>
            <w:r>
              <w:rPr>
                <w:color w:val="00B0F0"/>
                <w:u w:val="single"/>
              </w:rPr>
              <w:t xml:space="preserve">кредиту </w:t>
            </w:r>
            <w:r w:rsidRPr="0005313D">
              <w:rPr>
                <w:color w:val="00B0F0"/>
              </w:rPr>
              <w:t xml:space="preserve">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>»</w:t>
            </w:r>
            <w:r>
              <w:rPr>
                <w:color w:val="00B0F0"/>
              </w:rPr>
              <w:t xml:space="preserve"> </w:t>
            </w:r>
            <w:r>
              <w:rPr>
                <w:color w:val="00B0F0"/>
              </w:rPr>
              <w:lastRenderedPageBreak/>
              <w:t xml:space="preserve">в 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отчетном 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 w:rsidRPr="005E5D9F">
              <w:rPr>
                <w:color w:val="00B0F0"/>
                <w:u w:val="single"/>
              </w:rPr>
              <w:t>дебету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r>
              <w:t>Амортизация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</w:t>
            </w:r>
            <w:r>
              <w:rPr>
                <w:color w:val="00B0F0"/>
              </w:rPr>
              <w:t xml:space="preserve">в отчетном </w:t>
            </w:r>
            <w:r>
              <w:rPr>
                <w:color w:val="00B0F0"/>
              </w:rPr>
              <w:lastRenderedPageBreak/>
              <w:t xml:space="preserve">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lastRenderedPageBreak/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 xml:space="preserve">в отчетном </w:t>
            </w:r>
            <w:r>
              <w:rPr>
                <w:color w:val="00B0F0"/>
              </w:rPr>
              <w:lastRenderedPageBreak/>
              <w:t xml:space="preserve">периоде 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lastRenderedPageBreak/>
              <w:t>О</w:t>
            </w:r>
            <w:r>
              <w:rPr>
                <w:color w:val="00B0F0"/>
              </w:rPr>
              <w:t xml:space="preserve">борот </w:t>
            </w:r>
            <w:proofErr w:type="gramStart"/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</w:t>
            </w:r>
            <w:proofErr w:type="gramEnd"/>
            <w:r w:rsidRPr="0005313D">
              <w:rPr>
                <w:color w:val="00B0F0"/>
              </w:rPr>
              <w:t xml:space="preserve"> счету 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40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43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46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 xml:space="preserve">= столбец 3 + столбец 4 + столбец 5 +столбец 6 + столбец 7 </w:t>
            </w:r>
            <w:r w:rsidRPr="00790F14">
              <w:rPr>
                <w:color w:val="00B0F0"/>
              </w:rPr>
              <w:lastRenderedPageBreak/>
              <w:t>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46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</w:pPr>
            <w:r>
              <w:t>Прочее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27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39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48</w:t>
            </w: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отчетного 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отчетного 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lastRenderedPageBreak/>
              <w:t>51</w:t>
            </w:r>
          </w:p>
        </w:tc>
        <w:tc>
          <w:tcPr>
            <w:tcW w:w="3401" w:type="dxa"/>
            <w:vAlign w:val="bottom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«Программное обеспечение»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Лицензии и франшизы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  <w:r w:rsidRPr="0005313D">
              <w:rPr>
                <w:color w:val="00B0F0"/>
              </w:rPr>
              <w:t xml:space="preserve">Остаток по счету </w:t>
            </w:r>
            <w:proofErr w:type="gramStart"/>
            <w:r w:rsidRPr="0005313D">
              <w:rPr>
                <w:color w:val="00B0F0"/>
              </w:rPr>
              <w:t>6090</w:t>
            </w:r>
            <w:r w:rsidRPr="0005313D">
              <w:rPr>
                <w:b/>
                <w:color w:val="FF0000"/>
              </w:rPr>
              <w:t>3</w:t>
            </w:r>
            <w:r w:rsidRPr="0005313D">
              <w:rPr>
                <w:color w:val="00B0F0"/>
              </w:rPr>
              <w:t>.ПС  Субконто</w:t>
            </w:r>
            <w:proofErr w:type="gramEnd"/>
            <w:r w:rsidRPr="0005313D">
              <w:rPr>
                <w:color w:val="00B0F0"/>
              </w:rPr>
              <w:t>1. Вид НМ</w:t>
            </w:r>
            <w:r>
              <w:rPr>
                <w:color w:val="00B0F0"/>
              </w:rPr>
              <w:t>А</w:t>
            </w:r>
            <w:r w:rsidRPr="0005313D">
              <w:rPr>
                <w:color w:val="00B0F0"/>
              </w:rPr>
              <w:t xml:space="preserve"> (НФО) «</w:t>
            </w:r>
            <w:r>
              <w:rPr>
                <w:color w:val="00B0F0"/>
              </w:rPr>
              <w:t>Прочие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  <w:r w:rsidRPr="00790F14">
              <w:rPr>
                <w:color w:val="00B0F0"/>
              </w:rPr>
              <w:t>= столбец 3 + столбец 4 + столбец 5 +столбец 6 + столбец 7 +столбец 8 + столбец 9</w:t>
            </w:r>
          </w:p>
        </w:tc>
      </w:tr>
      <w:tr w:rsidR="00377E9F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3401" w:type="dxa"/>
          </w:tcPr>
          <w:p w:rsidR="00377E9F" w:rsidRDefault="00377E9F" w:rsidP="00377E9F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1" w:type="dxa"/>
          </w:tcPr>
          <w:p w:rsidR="00377E9F" w:rsidRDefault="00377E9F" w:rsidP="00377E9F">
            <w:pPr>
              <w:pStyle w:val="ConsPlusNormal"/>
            </w:pPr>
          </w:p>
        </w:tc>
        <w:tc>
          <w:tcPr>
            <w:tcW w:w="1204" w:type="dxa"/>
          </w:tcPr>
          <w:p w:rsidR="00377E9F" w:rsidRDefault="00377E9F" w:rsidP="00377E9F">
            <w:pPr>
              <w:pStyle w:val="ConsPlusNormal"/>
            </w:pPr>
          </w:p>
        </w:tc>
      </w:tr>
      <w:tr w:rsidR="00377E9F" w:rsidTr="00112040">
        <w:tc>
          <w:tcPr>
            <w:tcW w:w="680" w:type="dxa"/>
          </w:tcPr>
          <w:p w:rsidR="00377E9F" w:rsidRDefault="00377E9F" w:rsidP="00377E9F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13012" w:type="dxa"/>
            <w:gridSpan w:val="9"/>
          </w:tcPr>
          <w:p w:rsidR="00377E9F" w:rsidRDefault="00377E9F" w:rsidP="00377E9F">
            <w:pPr>
              <w:pStyle w:val="ConsPlusNormal"/>
            </w:pPr>
            <w:r>
              <w:t>Текстовое пояснение</w:t>
            </w:r>
          </w:p>
        </w:tc>
      </w:tr>
    </w:tbl>
    <w:p w:rsidR="00790F14" w:rsidRPr="00377E9F" w:rsidRDefault="00790F14">
      <w:pPr>
        <w:pStyle w:val="ConsPlusNormal"/>
        <w:rPr>
          <w:color w:val="FF0000"/>
        </w:rPr>
      </w:pPr>
      <w:hyperlink r:id="rId21">
        <w:r>
          <w:rPr>
            <w:i/>
            <w:color w:val="0000FF"/>
          </w:rPr>
          <w:br/>
        </w:r>
      </w:hyperlink>
      <w:r>
        <w:br/>
      </w:r>
      <w:r w:rsidR="00116C3E" w:rsidRPr="00377E9F">
        <w:rPr>
          <w:color w:val="FF0000"/>
        </w:rPr>
        <w:t>Пример.</w:t>
      </w:r>
    </w:p>
    <w:p w:rsidR="00116C3E" w:rsidRPr="00377E9F" w:rsidRDefault="00116C3E">
      <w:pPr>
        <w:pStyle w:val="ConsPlusNormal"/>
        <w:rPr>
          <w:color w:val="FF0000"/>
        </w:rPr>
      </w:pPr>
      <w:r w:rsidRPr="00377E9F">
        <w:rPr>
          <w:color w:val="FF0000"/>
        </w:rPr>
        <w:t xml:space="preserve">Заполненная таблица за отчетный период с 01 января 2025 по 31 август 2025г, отчетный период предыдущего года </w:t>
      </w:r>
      <w:r w:rsidR="00377E9F" w:rsidRPr="00377E9F">
        <w:rPr>
          <w:color w:val="FF0000"/>
        </w:rPr>
        <w:t>01 января 202</w:t>
      </w:r>
      <w:r w:rsidR="00377E9F" w:rsidRPr="00377E9F">
        <w:rPr>
          <w:color w:val="FF0000"/>
        </w:rPr>
        <w:t>4</w:t>
      </w:r>
      <w:r w:rsidR="00377E9F" w:rsidRPr="00377E9F">
        <w:rPr>
          <w:color w:val="FF0000"/>
        </w:rPr>
        <w:t xml:space="preserve"> по 31 август 202</w:t>
      </w:r>
      <w:r w:rsidR="00377E9F" w:rsidRPr="00377E9F">
        <w:rPr>
          <w:color w:val="FF0000"/>
        </w:rPr>
        <w:t>4</w:t>
      </w:r>
      <w:r w:rsidR="00377E9F" w:rsidRPr="00377E9F">
        <w:rPr>
          <w:color w:val="FF0000"/>
        </w:rPr>
        <w:t>г</w:t>
      </w:r>
      <w:r w:rsidR="00377E9F" w:rsidRPr="00377E9F">
        <w:rPr>
          <w:color w:val="FF0000"/>
        </w:rPr>
        <w:t>.</w:t>
      </w:r>
    </w:p>
    <w:p w:rsidR="003F4643" w:rsidRPr="00377E9F" w:rsidRDefault="00377E9F">
      <w:pPr>
        <w:rPr>
          <w:color w:val="FF0000"/>
        </w:rPr>
      </w:pPr>
      <w:r w:rsidRPr="00377E9F">
        <w:rPr>
          <w:color w:val="FF0000"/>
        </w:rPr>
        <w:t>Итого по строке 49 столбец 10 соответствует строке 17 бухгалтерского баланса «нематериальные активы и капитальные вложения в них».</w:t>
      </w:r>
    </w:p>
    <w:p w:rsidR="00116C3E" w:rsidRDefault="00116C3E" w:rsidP="00116C3E">
      <w:pPr>
        <w:pStyle w:val="ConsPlusNormal"/>
        <w:outlineLvl w:val="0"/>
      </w:pPr>
      <w:r>
        <w:t>Примечание 18. Нематериальные активы и капитальные вложения в них</w:t>
      </w:r>
    </w:p>
    <w:p w:rsidR="00116C3E" w:rsidRDefault="00116C3E" w:rsidP="00116C3E">
      <w:pPr>
        <w:pStyle w:val="ConsPlusNormal"/>
        <w:ind w:firstLine="540"/>
        <w:jc w:val="both"/>
      </w:pPr>
    </w:p>
    <w:p w:rsidR="00116C3E" w:rsidRDefault="00116C3E" w:rsidP="00116C3E">
      <w:pPr>
        <w:pStyle w:val="ConsPlusNormal"/>
        <w:outlineLvl w:val="1"/>
      </w:pPr>
      <w:r>
        <w:t>Нематериальные активы и капитальные вложения в них</w:t>
      </w:r>
    </w:p>
    <w:p w:rsidR="00116C3E" w:rsidRDefault="00116C3E" w:rsidP="00116C3E">
      <w:pPr>
        <w:pStyle w:val="ConsPlusNormal"/>
        <w:ind w:firstLine="540"/>
        <w:jc w:val="both"/>
      </w:pPr>
    </w:p>
    <w:p w:rsidR="00116C3E" w:rsidRDefault="00116C3E" w:rsidP="00116C3E">
      <w:pPr>
        <w:pStyle w:val="ConsPlusNormal"/>
        <w:jc w:val="right"/>
      </w:pPr>
      <w:r>
        <w:t>Таблица 18.1</w:t>
      </w:r>
    </w:p>
    <w:p w:rsidR="00116C3E" w:rsidRDefault="00116C3E" w:rsidP="00116C3E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3401"/>
        <w:gridCol w:w="1301"/>
        <w:gridCol w:w="1559"/>
        <w:gridCol w:w="1202"/>
        <w:gridCol w:w="21"/>
        <w:gridCol w:w="1180"/>
        <w:gridCol w:w="1201"/>
        <w:gridCol w:w="1201"/>
        <w:gridCol w:w="21"/>
        <w:gridCol w:w="1180"/>
        <w:gridCol w:w="21"/>
        <w:gridCol w:w="1486"/>
      </w:tblGrid>
      <w:tr w:rsidR="00116C3E" w:rsidTr="00C8157F">
        <w:tc>
          <w:tcPr>
            <w:tcW w:w="680" w:type="dxa"/>
            <w:vMerge w:val="restart"/>
          </w:tcPr>
          <w:p w:rsidR="00116C3E" w:rsidRDefault="00116C3E" w:rsidP="00116C3E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401" w:type="dxa"/>
            <w:vMerge w:val="restart"/>
          </w:tcPr>
          <w:p w:rsidR="00116C3E" w:rsidRDefault="00116C3E" w:rsidP="00116C3E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4083" w:type="dxa"/>
            <w:gridSpan w:val="4"/>
          </w:tcPr>
          <w:p w:rsidR="00116C3E" w:rsidRDefault="00116C3E" w:rsidP="00116C3E">
            <w:pPr>
              <w:pStyle w:val="ConsPlusNormal"/>
              <w:jc w:val="center"/>
            </w:pPr>
            <w:r>
              <w:t>Нематериальные активы, приобретенные</w:t>
            </w:r>
          </w:p>
        </w:tc>
        <w:tc>
          <w:tcPr>
            <w:tcW w:w="3603" w:type="dxa"/>
            <w:gridSpan w:val="4"/>
          </w:tcPr>
          <w:p w:rsidR="00116C3E" w:rsidRDefault="00116C3E" w:rsidP="00116C3E">
            <w:pPr>
              <w:pStyle w:val="ConsPlusNormal"/>
              <w:jc w:val="center"/>
            </w:pPr>
            <w:r>
              <w:t>Нематериальные активы, созданные самостоятельно</w:t>
            </w: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  <w:jc w:val="center"/>
            </w:pPr>
            <w:r>
              <w:t xml:space="preserve">Капитальные вложения в объекты </w:t>
            </w:r>
            <w:r>
              <w:lastRenderedPageBreak/>
              <w:t>нематериальных активов</w:t>
            </w:r>
          </w:p>
        </w:tc>
        <w:tc>
          <w:tcPr>
            <w:tcW w:w="1486" w:type="dxa"/>
          </w:tcPr>
          <w:p w:rsidR="00116C3E" w:rsidRDefault="00116C3E" w:rsidP="00116C3E">
            <w:pPr>
              <w:pStyle w:val="ConsPlusNormal"/>
              <w:jc w:val="center"/>
            </w:pPr>
            <w:r>
              <w:lastRenderedPageBreak/>
              <w:t>Итого</w:t>
            </w:r>
          </w:p>
        </w:tc>
      </w:tr>
      <w:tr w:rsidR="00116C3E" w:rsidTr="00C8157F">
        <w:tc>
          <w:tcPr>
            <w:tcW w:w="680" w:type="dxa"/>
            <w:vMerge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3401" w:type="dxa"/>
            <w:vMerge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программное обеспечение</w:t>
            </w: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лицензии и франшизы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  <w:jc w:val="center"/>
            </w:pPr>
            <w:r>
              <w:t>программное обеспечение</w:t>
            </w: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лицензии и франшизы</w:t>
            </w: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  <w:jc w:val="center"/>
            </w:pPr>
            <w:r>
              <w:t>10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 xml:space="preserve">Балансовая стоимость на </w:t>
            </w:r>
            <w:r w:rsidR="00377E9F" w:rsidRPr="00377E9F">
              <w:rPr>
                <w:color w:val="FF0000"/>
              </w:rPr>
              <w:t>01.01.</w:t>
            </w:r>
            <w:r w:rsidRPr="00377E9F">
              <w:rPr>
                <w:color w:val="FF0000"/>
              </w:rPr>
              <w:t xml:space="preserve"> 20</w:t>
            </w:r>
            <w:r w:rsidR="00377E9F" w:rsidRPr="00377E9F">
              <w:rPr>
                <w:color w:val="FF0000"/>
              </w:rPr>
              <w:t>24</w:t>
            </w:r>
            <w:r w:rsidRPr="00377E9F">
              <w:rPr>
                <w:color w:val="FF0000"/>
              </w:rPr>
              <w:t xml:space="preserve"> </w:t>
            </w:r>
            <w:r>
              <w:t>г., в том числе:</w:t>
            </w:r>
          </w:p>
        </w:tc>
        <w:tc>
          <w:tcPr>
            <w:tcW w:w="1301" w:type="dxa"/>
          </w:tcPr>
          <w:p w:rsidR="00116C3E" w:rsidRPr="00790F14" w:rsidRDefault="00004A7B" w:rsidP="00116C3E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528 059,08</w:t>
            </w:r>
          </w:p>
        </w:tc>
        <w:tc>
          <w:tcPr>
            <w:tcW w:w="1559" w:type="dxa"/>
          </w:tcPr>
          <w:p w:rsidR="00116C3E" w:rsidRPr="00790F14" w:rsidRDefault="00004A7B" w:rsidP="00116C3E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1 044 141,87</w:t>
            </w:r>
          </w:p>
        </w:tc>
        <w:tc>
          <w:tcPr>
            <w:tcW w:w="1202" w:type="dxa"/>
          </w:tcPr>
          <w:p w:rsidR="00116C3E" w:rsidRPr="00790F14" w:rsidRDefault="00004A7B" w:rsidP="00116C3E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36 165,50</w:t>
            </w:r>
          </w:p>
        </w:tc>
        <w:tc>
          <w:tcPr>
            <w:tcW w:w="1201" w:type="dxa"/>
            <w:gridSpan w:val="2"/>
          </w:tcPr>
          <w:p w:rsidR="00116C3E" w:rsidRPr="00790F14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790F14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790F14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790F14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790F14" w:rsidRDefault="00004A7B" w:rsidP="00116C3E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1 608 366,45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301" w:type="dxa"/>
          </w:tcPr>
          <w:p w:rsidR="00116C3E" w:rsidRPr="00004A7B" w:rsidRDefault="00377E9F" w:rsidP="00116C3E">
            <w:pPr>
              <w:pStyle w:val="ConsPlusNormal"/>
              <w:rPr>
                <w:color w:val="00B0F0"/>
              </w:rPr>
            </w:pPr>
            <w:r w:rsidRPr="00004A7B">
              <w:rPr>
                <w:color w:val="00B0F0"/>
              </w:rPr>
              <w:t>1</w:t>
            </w:r>
            <w:r w:rsidR="00004A7B" w:rsidRPr="00004A7B">
              <w:rPr>
                <w:color w:val="00B0F0"/>
              </w:rPr>
              <w:t xml:space="preserve"> </w:t>
            </w:r>
            <w:r w:rsidRPr="00004A7B">
              <w:rPr>
                <w:color w:val="00B0F0"/>
              </w:rPr>
              <w:t>299</w:t>
            </w:r>
            <w:r w:rsidR="00004A7B" w:rsidRPr="00004A7B">
              <w:rPr>
                <w:color w:val="00B0F0"/>
              </w:rPr>
              <w:t xml:space="preserve"> </w:t>
            </w:r>
            <w:r w:rsidRPr="00004A7B">
              <w:rPr>
                <w:color w:val="00B0F0"/>
              </w:rPr>
              <w:t>900,00</w:t>
            </w:r>
          </w:p>
        </w:tc>
        <w:tc>
          <w:tcPr>
            <w:tcW w:w="1559" w:type="dxa"/>
          </w:tcPr>
          <w:p w:rsidR="00116C3E" w:rsidRPr="00004A7B" w:rsidRDefault="00377E9F" w:rsidP="00116C3E">
            <w:pPr>
              <w:pStyle w:val="ConsPlusNormal"/>
              <w:rPr>
                <w:color w:val="00B0F0"/>
              </w:rPr>
            </w:pPr>
            <w:r w:rsidRPr="00004A7B">
              <w:rPr>
                <w:color w:val="00B0F0"/>
              </w:rPr>
              <w:t>3</w:t>
            </w:r>
            <w:r w:rsidR="00004A7B" w:rsidRPr="00004A7B">
              <w:rPr>
                <w:color w:val="00B0F0"/>
              </w:rPr>
              <w:t xml:space="preserve"> </w:t>
            </w:r>
            <w:r w:rsidRPr="00004A7B">
              <w:rPr>
                <w:color w:val="00B0F0"/>
              </w:rPr>
              <w:t>544</w:t>
            </w:r>
            <w:r w:rsidR="00004A7B" w:rsidRPr="00004A7B">
              <w:rPr>
                <w:color w:val="00B0F0"/>
              </w:rPr>
              <w:t xml:space="preserve"> </w:t>
            </w:r>
            <w:r w:rsidRPr="00004A7B">
              <w:rPr>
                <w:color w:val="00B0F0"/>
              </w:rPr>
              <w:t>677,13</w:t>
            </w:r>
          </w:p>
        </w:tc>
        <w:tc>
          <w:tcPr>
            <w:tcW w:w="1202" w:type="dxa"/>
          </w:tcPr>
          <w:p w:rsidR="00116C3E" w:rsidRPr="00004A7B" w:rsidRDefault="00004A7B" w:rsidP="00116C3E">
            <w:pPr>
              <w:pStyle w:val="ConsPlusNormal"/>
              <w:rPr>
                <w:color w:val="00B0F0"/>
              </w:rPr>
            </w:pPr>
            <w:r w:rsidRPr="00004A7B">
              <w:rPr>
                <w:color w:val="00B0F0"/>
              </w:rPr>
              <w:t>44 800,00</w:t>
            </w:r>
          </w:p>
        </w:tc>
        <w:tc>
          <w:tcPr>
            <w:tcW w:w="1201" w:type="dxa"/>
            <w:gridSpan w:val="2"/>
          </w:tcPr>
          <w:p w:rsidR="00116C3E" w:rsidRPr="00004A7B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004A7B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004A7B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004A7B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004A7B" w:rsidRDefault="00004A7B" w:rsidP="00116C3E">
            <w:pPr>
              <w:pStyle w:val="ConsPlusNormal"/>
              <w:rPr>
                <w:color w:val="00B0F0"/>
              </w:rPr>
            </w:pPr>
            <w:r w:rsidRPr="00004A7B">
              <w:rPr>
                <w:color w:val="00B0F0"/>
              </w:rPr>
              <w:t>4 889 377,13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301" w:type="dxa"/>
          </w:tcPr>
          <w:p w:rsidR="00116C3E" w:rsidRPr="00004A7B" w:rsidRDefault="00004A7B" w:rsidP="00116C3E">
            <w:pPr>
              <w:pStyle w:val="ConsPlusNormal"/>
              <w:rPr>
                <w:color w:val="00B0F0"/>
              </w:rPr>
            </w:pPr>
            <w:r w:rsidRPr="00004A7B">
              <w:rPr>
                <w:color w:val="00B0F0"/>
              </w:rPr>
              <w:t>-771 840,92</w:t>
            </w:r>
          </w:p>
        </w:tc>
        <w:tc>
          <w:tcPr>
            <w:tcW w:w="1559" w:type="dxa"/>
          </w:tcPr>
          <w:p w:rsidR="00116C3E" w:rsidRPr="00004A7B" w:rsidRDefault="00004A7B" w:rsidP="00116C3E">
            <w:pPr>
              <w:pStyle w:val="ConsPlusNormal"/>
              <w:rPr>
                <w:color w:val="00B0F0"/>
              </w:rPr>
            </w:pPr>
            <w:r w:rsidRPr="00004A7B">
              <w:rPr>
                <w:color w:val="00B0F0"/>
              </w:rPr>
              <w:t>-2 500 535,26</w:t>
            </w:r>
          </w:p>
        </w:tc>
        <w:tc>
          <w:tcPr>
            <w:tcW w:w="1202" w:type="dxa"/>
          </w:tcPr>
          <w:p w:rsidR="00116C3E" w:rsidRPr="00004A7B" w:rsidRDefault="00004A7B" w:rsidP="00116C3E">
            <w:pPr>
              <w:pStyle w:val="ConsPlusNormal"/>
              <w:rPr>
                <w:color w:val="00B0F0"/>
              </w:rPr>
            </w:pPr>
            <w:r w:rsidRPr="00004A7B">
              <w:rPr>
                <w:color w:val="00B0F0"/>
              </w:rPr>
              <w:t>-8 634,50</w:t>
            </w:r>
          </w:p>
          <w:p w:rsidR="00004A7B" w:rsidRPr="00004A7B" w:rsidRDefault="00004A7B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004A7B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004A7B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004A7B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004A7B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004A7B" w:rsidRDefault="00004A7B" w:rsidP="00116C3E">
            <w:pPr>
              <w:pStyle w:val="ConsPlusNormal"/>
              <w:rPr>
                <w:color w:val="00B0F0"/>
              </w:rPr>
            </w:pPr>
            <w:r w:rsidRPr="00004A7B">
              <w:rPr>
                <w:color w:val="00B0F0"/>
              </w:rPr>
              <w:t>-3 281 010,68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r>
              <w:t>Поступление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736 900,00</w:t>
            </w:r>
          </w:p>
        </w:tc>
        <w:tc>
          <w:tcPr>
            <w:tcW w:w="1202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736 900,00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>Перевод капитальных вложений в нематериальные активы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активы (активы выбывающих групп), классифицированные как предназначенные для продажи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- 1 778,83</w:t>
            </w:r>
          </w:p>
        </w:tc>
        <w:tc>
          <w:tcPr>
            <w:tcW w:w="1202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- 36 165,50</w:t>
            </w: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- 37 944,33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 xml:space="preserve">- </w:t>
            </w:r>
            <w:r w:rsidRPr="00805C79">
              <w:rPr>
                <w:color w:val="00B0F0"/>
              </w:rPr>
              <w:t>12 969,13</w:t>
            </w:r>
          </w:p>
        </w:tc>
        <w:tc>
          <w:tcPr>
            <w:tcW w:w="1202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- 44 800,00</w:t>
            </w: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- 57 769,13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lastRenderedPageBreak/>
              <w:t>10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11 190,30</w:t>
            </w:r>
          </w:p>
        </w:tc>
        <w:tc>
          <w:tcPr>
            <w:tcW w:w="1202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 xml:space="preserve"> 8 634,50</w:t>
            </w: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19 824,80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r>
              <w:t>Амортизация</w:t>
            </w:r>
          </w:p>
        </w:tc>
        <w:tc>
          <w:tcPr>
            <w:tcW w:w="1301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- 40 076,64</w:t>
            </w:r>
          </w:p>
        </w:tc>
        <w:tc>
          <w:tcPr>
            <w:tcW w:w="1559" w:type="dxa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- 359 909,47</w:t>
            </w:r>
          </w:p>
        </w:tc>
        <w:tc>
          <w:tcPr>
            <w:tcW w:w="1202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805C79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805C79" w:rsidRDefault="00805C79" w:rsidP="00116C3E">
            <w:pPr>
              <w:pStyle w:val="ConsPlusNormal"/>
              <w:rPr>
                <w:color w:val="00B0F0"/>
              </w:rPr>
            </w:pPr>
            <w:r w:rsidRPr="00805C79">
              <w:rPr>
                <w:color w:val="00B0F0"/>
              </w:rPr>
              <w:t>- 399 986,11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Pr="00AD44F3" w:rsidRDefault="00116C3E" w:rsidP="00116C3E">
            <w:pPr>
              <w:pStyle w:val="ConsPlusNormal"/>
              <w:rPr>
                <w:b/>
              </w:rPr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Pr="009B366B" w:rsidRDefault="00116C3E" w:rsidP="00116C3E">
            <w:pPr>
              <w:pStyle w:val="ConsPlusNormal"/>
              <w:rPr>
                <w:lang w:val="en-US"/>
              </w:rPr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r>
              <w:t>Прочее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 xml:space="preserve">Балансовая стоимость на </w:t>
            </w:r>
            <w:r w:rsidR="00805C79" w:rsidRPr="00805C79">
              <w:rPr>
                <w:color w:val="FF0000"/>
              </w:rPr>
              <w:lastRenderedPageBreak/>
              <w:t>31.12.</w:t>
            </w:r>
            <w:r w:rsidRPr="00805C79">
              <w:rPr>
                <w:color w:val="FF0000"/>
              </w:rPr>
              <w:t>20</w:t>
            </w:r>
            <w:r w:rsidR="00805C79" w:rsidRPr="00805C79">
              <w:rPr>
                <w:color w:val="FF0000"/>
              </w:rPr>
              <w:t>24</w:t>
            </w:r>
            <w:r w:rsidRPr="00805C79">
              <w:rPr>
                <w:color w:val="FF0000"/>
              </w:rPr>
              <w:t>г</w:t>
            </w:r>
            <w:r>
              <w:t>., в том числе:</w:t>
            </w:r>
          </w:p>
        </w:tc>
        <w:tc>
          <w:tcPr>
            <w:tcW w:w="1301" w:type="dxa"/>
          </w:tcPr>
          <w:p w:rsidR="00116C3E" w:rsidRDefault="00805C79" w:rsidP="00116C3E">
            <w:pPr>
              <w:pStyle w:val="ConsPlusNormal"/>
            </w:pPr>
            <w:r>
              <w:rPr>
                <w:color w:val="00B0F0"/>
              </w:rPr>
              <w:lastRenderedPageBreak/>
              <w:t>487 982,44</w:t>
            </w:r>
          </w:p>
        </w:tc>
        <w:tc>
          <w:tcPr>
            <w:tcW w:w="1559" w:type="dxa"/>
          </w:tcPr>
          <w:p w:rsidR="00116C3E" w:rsidRDefault="00805C79" w:rsidP="00116C3E">
            <w:pPr>
              <w:pStyle w:val="ConsPlusNormal"/>
            </w:pPr>
            <w:r>
              <w:rPr>
                <w:color w:val="00B0F0"/>
              </w:rPr>
              <w:t>1 419 353,57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805C79" w:rsidP="00116C3E">
            <w:pPr>
              <w:pStyle w:val="ConsPlusNormal"/>
            </w:pPr>
            <w:r>
              <w:rPr>
                <w:color w:val="00B0F0"/>
              </w:rPr>
              <w:t>1 907 336,01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301" w:type="dxa"/>
          </w:tcPr>
          <w:p w:rsidR="00116C3E" w:rsidRDefault="00805C79" w:rsidP="00116C3E">
            <w:pPr>
              <w:pStyle w:val="ConsPlusNormal"/>
            </w:pPr>
            <w:r>
              <w:rPr>
                <w:color w:val="00B0F0"/>
              </w:rPr>
              <w:t>1 299 900,00</w:t>
            </w:r>
          </w:p>
        </w:tc>
        <w:tc>
          <w:tcPr>
            <w:tcW w:w="1559" w:type="dxa"/>
          </w:tcPr>
          <w:p w:rsidR="00116C3E" w:rsidRDefault="00805C79" w:rsidP="00116C3E">
            <w:pPr>
              <w:pStyle w:val="ConsPlusNormal"/>
            </w:pPr>
            <w:r>
              <w:rPr>
                <w:color w:val="00B0F0"/>
              </w:rPr>
              <w:t>4 268 608,00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5 568 508,00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301" w:type="dxa"/>
          </w:tcPr>
          <w:p w:rsidR="00116C3E" w:rsidRDefault="00805C79" w:rsidP="00116C3E">
            <w:pPr>
              <w:pStyle w:val="ConsPlusNormal"/>
            </w:pPr>
            <w:r>
              <w:rPr>
                <w:color w:val="00B0F0"/>
              </w:rPr>
              <w:t>- 811 917,56</w:t>
            </w:r>
          </w:p>
        </w:tc>
        <w:tc>
          <w:tcPr>
            <w:tcW w:w="1559" w:type="dxa"/>
          </w:tcPr>
          <w:p w:rsidR="00116C3E" w:rsidRDefault="00805C79" w:rsidP="00116C3E">
            <w:pPr>
              <w:pStyle w:val="ConsPlusNormal"/>
            </w:pPr>
            <w:r>
              <w:rPr>
                <w:color w:val="00B0F0"/>
              </w:rPr>
              <w:t>- 2</w:t>
            </w:r>
            <w:r w:rsidR="00C8157F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849 254,43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- 3 661 171,99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 xml:space="preserve">Балансовая стоимость на </w:t>
            </w:r>
            <w:r w:rsidR="00C8157F" w:rsidRPr="00C8157F">
              <w:rPr>
                <w:color w:val="FF0000"/>
              </w:rPr>
              <w:t>01.01.2025</w:t>
            </w:r>
            <w:r w:rsidRPr="00C8157F">
              <w:rPr>
                <w:color w:val="FF0000"/>
              </w:rPr>
              <w:t xml:space="preserve"> г., </w:t>
            </w:r>
            <w:r>
              <w:t>в том числе:</w:t>
            </w:r>
          </w:p>
        </w:tc>
        <w:tc>
          <w:tcPr>
            <w:tcW w:w="1301" w:type="dxa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467 944,11</w:t>
            </w:r>
          </w:p>
        </w:tc>
        <w:tc>
          <w:tcPr>
            <w:tcW w:w="1559" w:type="dxa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1 299 016,86</w:t>
            </w:r>
          </w:p>
        </w:tc>
        <w:tc>
          <w:tcPr>
            <w:tcW w:w="1202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1 766 960,97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301" w:type="dxa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1 299 900,00</w:t>
            </w:r>
          </w:p>
        </w:tc>
        <w:tc>
          <w:tcPr>
            <w:tcW w:w="1559" w:type="dxa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4 319 728,00</w:t>
            </w:r>
          </w:p>
        </w:tc>
        <w:tc>
          <w:tcPr>
            <w:tcW w:w="1202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5 619 628,00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301" w:type="dxa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- 831 955,89</w:t>
            </w:r>
          </w:p>
        </w:tc>
        <w:tc>
          <w:tcPr>
            <w:tcW w:w="1559" w:type="dxa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- 3 020 711,14</w:t>
            </w:r>
          </w:p>
        </w:tc>
        <w:tc>
          <w:tcPr>
            <w:tcW w:w="1202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201" w:type="dxa"/>
            <w:gridSpan w:val="2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- 3 852 667,03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r>
              <w:t>Поступление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200 000,00</w:t>
            </w:r>
            <w:r w:rsidR="00116C3E">
              <w:rPr>
                <w:color w:val="00B0F0"/>
              </w:rPr>
              <w:t xml:space="preserve"> 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Pr="00C8157F" w:rsidRDefault="00116C3E" w:rsidP="00116C3E">
            <w:pPr>
              <w:pStyle w:val="ConsPlusNormal"/>
              <w:rPr>
                <w:color w:val="00B0F0"/>
              </w:rPr>
            </w:pPr>
          </w:p>
        </w:tc>
        <w:tc>
          <w:tcPr>
            <w:tcW w:w="1507" w:type="dxa"/>
            <w:gridSpan w:val="2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200 000,00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>Перевод капитальных вложений в нематериальные активы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proofErr w:type="spellStart"/>
            <w:r>
              <w:t>Переклассификация</w:t>
            </w:r>
            <w:proofErr w:type="spellEnd"/>
            <w:r>
              <w:t xml:space="preserve"> в активы (активы выбывающих групп), классифицированные как предназначенные для продажи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301" w:type="dxa"/>
          </w:tcPr>
          <w:p w:rsidR="00116C3E" w:rsidRPr="0041243A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lastRenderedPageBreak/>
              <w:t>37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r>
              <w:t>Амортизация</w:t>
            </w:r>
          </w:p>
        </w:tc>
        <w:tc>
          <w:tcPr>
            <w:tcW w:w="1301" w:type="dxa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- 39 912,39</w:t>
            </w:r>
          </w:p>
        </w:tc>
        <w:tc>
          <w:tcPr>
            <w:tcW w:w="1559" w:type="dxa"/>
          </w:tcPr>
          <w:p w:rsidR="00116C3E" w:rsidRPr="00C8157F" w:rsidRDefault="00C8157F" w:rsidP="00116C3E">
            <w:pPr>
              <w:pStyle w:val="ConsPlusNormal"/>
              <w:rPr>
                <w:color w:val="00B0F0"/>
              </w:rPr>
            </w:pPr>
            <w:r w:rsidRPr="00C8157F">
              <w:rPr>
                <w:color w:val="00B0F0"/>
              </w:rPr>
              <w:t>- 358 339,98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- 398 252,37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</w:pPr>
            <w:r>
              <w:t>Прочее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</w:pPr>
            <w:r>
              <w:t xml:space="preserve">Балансовая стоимость на </w:t>
            </w:r>
            <w:r w:rsidR="00C8157F" w:rsidRPr="00C8157F">
              <w:rPr>
                <w:color w:val="FF0000"/>
              </w:rPr>
              <w:t xml:space="preserve">31.08.2025 </w:t>
            </w:r>
            <w:r w:rsidRPr="00C8157F">
              <w:rPr>
                <w:color w:val="FF0000"/>
              </w:rPr>
              <w:t xml:space="preserve">г., </w:t>
            </w:r>
            <w:r>
              <w:t>в том числе:</w:t>
            </w:r>
          </w:p>
        </w:tc>
        <w:tc>
          <w:tcPr>
            <w:tcW w:w="1301" w:type="dxa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428 031,72</w:t>
            </w:r>
          </w:p>
        </w:tc>
        <w:tc>
          <w:tcPr>
            <w:tcW w:w="1559" w:type="dxa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1 140 676,88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1 568 708,60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lastRenderedPageBreak/>
              <w:t>50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301" w:type="dxa"/>
          </w:tcPr>
          <w:p w:rsidR="00116C3E" w:rsidRPr="00CF5A29" w:rsidRDefault="00C8157F" w:rsidP="00116C3E">
            <w:pPr>
              <w:pStyle w:val="ConsPlusNormal"/>
              <w:rPr>
                <w:color w:val="00B0F0"/>
              </w:rPr>
            </w:pPr>
            <w:r w:rsidRPr="00CF5A29">
              <w:rPr>
                <w:color w:val="00B0F0"/>
              </w:rPr>
              <w:t>1 299 900,00</w:t>
            </w:r>
          </w:p>
        </w:tc>
        <w:tc>
          <w:tcPr>
            <w:tcW w:w="1559" w:type="dxa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4 519 728,00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  <w:bookmarkStart w:id="0" w:name="_GoBack"/>
            <w:bookmarkEnd w:id="0"/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5 819 628,00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3401" w:type="dxa"/>
            <w:vAlign w:val="bottom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301" w:type="dxa"/>
          </w:tcPr>
          <w:p w:rsidR="00116C3E" w:rsidRPr="00CF5A29" w:rsidRDefault="00C8157F" w:rsidP="00116C3E">
            <w:pPr>
              <w:pStyle w:val="ConsPlusNormal"/>
              <w:rPr>
                <w:color w:val="00B0F0"/>
              </w:rPr>
            </w:pPr>
            <w:r w:rsidRPr="00CF5A29">
              <w:rPr>
                <w:color w:val="00B0F0"/>
              </w:rPr>
              <w:t>- 871 868,28</w:t>
            </w:r>
          </w:p>
        </w:tc>
        <w:tc>
          <w:tcPr>
            <w:tcW w:w="1559" w:type="dxa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- 3 379 051,12</w:t>
            </w: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C8157F" w:rsidP="00116C3E">
            <w:pPr>
              <w:pStyle w:val="ConsPlusNormal"/>
            </w:pPr>
            <w:r>
              <w:rPr>
                <w:color w:val="00B0F0"/>
              </w:rPr>
              <w:t>- 4 250 919,40</w:t>
            </w: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3401" w:type="dxa"/>
          </w:tcPr>
          <w:p w:rsidR="00116C3E" w:rsidRDefault="00116C3E" w:rsidP="00116C3E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3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59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2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201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  <w:tc>
          <w:tcPr>
            <w:tcW w:w="1507" w:type="dxa"/>
            <w:gridSpan w:val="2"/>
          </w:tcPr>
          <w:p w:rsidR="00116C3E" w:rsidRDefault="00116C3E" w:rsidP="00116C3E">
            <w:pPr>
              <w:pStyle w:val="ConsPlusNormal"/>
            </w:pPr>
          </w:p>
        </w:tc>
      </w:tr>
      <w:tr w:rsidR="00116C3E" w:rsidTr="00C8157F">
        <w:tc>
          <w:tcPr>
            <w:tcW w:w="680" w:type="dxa"/>
          </w:tcPr>
          <w:p w:rsidR="00116C3E" w:rsidRDefault="00116C3E" w:rsidP="00116C3E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13774" w:type="dxa"/>
            <w:gridSpan w:val="12"/>
          </w:tcPr>
          <w:p w:rsidR="00116C3E" w:rsidRDefault="00116C3E" w:rsidP="00116C3E">
            <w:pPr>
              <w:pStyle w:val="ConsPlusNormal"/>
            </w:pPr>
            <w:r>
              <w:t>Текстовое пояснение</w:t>
            </w:r>
          </w:p>
        </w:tc>
      </w:tr>
    </w:tbl>
    <w:p w:rsidR="00116C3E" w:rsidRDefault="00116C3E"/>
    <w:sectPr w:rsidR="00116C3E" w:rsidSect="001120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14"/>
    <w:rsid w:val="00004A7B"/>
    <w:rsid w:val="0005313D"/>
    <w:rsid w:val="00112040"/>
    <w:rsid w:val="00114E6D"/>
    <w:rsid w:val="00116C3E"/>
    <w:rsid w:val="00377E9F"/>
    <w:rsid w:val="003F4643"/>
    <w:rsid w:val="0041243A"/>
    <w:rsid w:val="005E5D9F"/>
    <w:rsid w:val="00645AFF"/>
    <w:rsid w:val="00790F14"/>
    <w:rsid w:val="007938C0"/>
    <w:rsid w:val="00805C79"/>
    <w:rsid w:val="009B366B"/>
    <w:rsid w:val="00AD44F3"/>
    <w:rsid w:val="00C8157F"/>
    <w:rsid w:val="00C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3BCA"/>
  <w15:chartTrackingRefBased/>
  <w15:docId w15:val="{95596301-D839-4DA9-84EC-E03A4C04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0F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9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2667" TargetMode="External"/><Relationship Id="rId13" Type="http://schemas.openxmlformats.org/officeDocument/2006/relationships/hyperlink" Target="https://login.consultant.ru/link/?req=doc&amp;base=LAW&amp;n=487994&amp;dst=102707" TargetMode="External"/><Relationship Id="rId18" Type="http://schemas.openxmlformats.org/officeDocument/2006/relationships/hyperlink" Target="https://login.consultant.ru/link/?req=doc&amp;base=LAW&amp;n=487994&amp;dst=1027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487994&amp;dst=102626" TargetMode="External"/><Relationship Id="rId7" Type="http://schemas.openxmlformats.org/officeDocument/2006/relationships/hyperlink" Target="https://login.consultant.ru/link/?req=doc&amp;base=LAW&amp;n=487994&amp;dst=102663" TargetMode="External"/><Relationship Id="rId12" Type="http://schemas.openxmlformats.org/officeDocument/2006/relationships/hyperlink" Target="https://login.consultant.ru/link/?req=doc&amp;base=LAW&amp;n=487994&amp;dst=102701" TargetMode="External"/><Relationship Id="rId17" Type="http://schemas.openxmlformats.org/officeDocument/2006/relationships/hyperlink" Target="https://login.consultant.ru/link/?req=doc&amp;base=LAW&amp;n=487994&amp;dst=1027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487994&amp;dst=102719" TargetMode="External"/><Relationship Id="rId20" Type="http://schemas.openxmlformats.org/officeDocument/2006/relationships/hyperlink" Target="https://login.consultant.ru/link/?req=doc&amp;base=LAW&amp;n=487994&amp;dst=1027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2657" TargetMode="External"/><Relationship Id="rId11" Type="http://schemas.openxmlformats.org/officeDocument/2006/relationships/hyperlink" Target="https://login.consultant.ru/link/?req=doc&amp;base=LAW&amp;n=487994&amp;dst=102699" TargetMode="External"/><Relationship Id="rId5" Type="http://schemas.openxmlformats.org/officeDocument/2006/relationships/hyperlink" Target="https://login.consultant.ru/link/?req=doc&amp;base=LAW&amp;n=487994&amp;dst=102655" TargetMode="External"/><Relationship Id="rId15" Type="http://schemas.openxmlformats.org/officeDocument/2006/relationships/hyperlink" Target="https://login.consultant.ru/link/?req=doc&amp;base=LAW&amp;n=487994&amp;dst=1027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487994&amp;dst=102679" TargetMode="External"/><Relationship Id="rId19" Type="http://schemas.openxmlformats.org/officeDocument/2006/relationships/hyperlink" Target="https://login.consultant.ru/link/?req=doc&amp;base=LAW&amp;n=487994&amp;dst=1027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2673" TargetMode="External"/><Relationship Id="rId14" Type="http://schemas.openxmlformats.org/officeDocument/2006/relationships/hyperlink" Target="https://login.consultant.ru/link/?req=doc&amp;base=LAW&amp;n=487994&amp;dst=10270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2888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6</cp:revision>
  <dcterms:created xsi:type="dcterms:W3CDTF">2025-09-17T12:17:00Z</dcterms:created>
  <dcterms:modified xsi:type="dcterms:W3CDTF">2025-09-17T14:52:00Z</dcterms:modified>
</cp:coreProperties>
</file>