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2AA" w:rsidRDefault="004E02AA">
      <w:pPr>
        <w:pStyle w:val="ConsPlusNormal"/>
        <w:jc w:val="center"/>
        <w:outlineLvl w:val="0"/>
      </w:pPr>
      <w:r>
        <w:t>Задача № 33</w:t>
      </w:r>
    </w:p>
    <w:p w:rsidR="004E02AA" w:rsidRDefault="004E02AA" w:rsidP="004E02AA">
      <w:pPr>
        <w:pStyle w:val="ConsPlusNormal"/>
        <w:outlineLvl w:val="0"/>
      </w:pPr>
    </w:p>
    <w:p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ГР_2</w:t>
      </w:r>
      <w:r>
        <w:t>6</w:t>
      </w:r>
      <w:r>
        <w:t>.0</w:t>
      </w:r>
      <w:r>
        <w:t>1</w:t>
      </w:r>
      <w:r>
        <w:t>_2025, шаблон таблицы ниже.</w:t>
      </w:r>
    </w:p>
    <w:p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:rsidR="007070C8" w:rsidRDefault="007070C8" w:rsidP="004E02AA">
      <w:pPr>
        <w:pStyle w:val="ConsPlusNormal"/>
        <w:numPr>
          <w:ilvl w:val="0"/>
          <w:numId w:val="1"/>
        </w:numPr>
        <w:outlineLvl w:val="0"/>
      </w:pPr>
      <w:r>
        <w:t xml:space="preserve">В ряде строк используется один счет 60311, но каждая строка заполняется в рамках </w:t>
      </w:r>
      <w:r w:rsidR="00B56563">
        <w:t xml:space="preserve">Субконто 1. по </w:t>
      </w:r>
      <w:r>
        <w:t>отдельны</w:t>
      </w:r>
      <w:r w:rsidR="00B56563">
        <w:t>м</w:t>
      </w:r>
      <w:r>
        <w:t xml:space="preserve"> Контрагент</w:t>
      </w:r>
      <w:r w:rsidR="00B56563">
        <w:t>ам</w:t>
      </w:r>
      <w:r>
        <w:t>.</w:t>
      </w:r>
    </w:p>
    <w:p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Таблица формируется по состоянию на отчетную дату и на 31 декабря предыдущего года.</w:t>
      </w:r>
    </w:p>
    <w:p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Строка 21 «</w:t>
      </w:r>
      <w:r w:rsidR="00380891">
        <w:t>И</w:t>
      </w:r>
      <w:r>
        <w:t>того» соответствует строке 30 бухгалтерского баланса «кредиторская задолженность».</w:t>
      </w:r>
    </w:p>
    <w:p w:rsidR="004E02AA" w:rsidRDefault="004E02AA" w:rsidP="004E02AA">
      <w:pPr>
        <w:pStyle w:val="ConsPlusNormal"/>
        <w:outlineLvl w:val="0"/>
      </w:pPr>
    </w:p>
    <w:p w:rsidR="004E02AA" w:rsidRDefault="004E02AA" w:rsidP="004E02AA">
      <w:pPr>
        <w:pStyle w:val="ConsPlusNormal"/>
        <w:outlineLvl w:val="0"/>
      </w:pPr>
    </w:p>
    <w:p w:rsidR="004E02AA" w:rsidRDefault="004E02AA" w:rsidP="004E02AA">
      <w:pPr>
        <w:pStyle w:val="ConsPlusNormal"/>
        <w:outlineLvl w:val="0"/>
      </w:pPr>
    </w:p>
    <w:p w:rsidR="004E02AA" w:rsidRDefault="004E02AA" w:rsidP="004E02AA">
      <w:pPr>
        <w:pStyle w:val="ConsPlusNormal"/>
        <w:outlineLvl w:val="0"/>
      </w:pPr>
      <w:r>
        <w:t>Примечание 26. Финансовые обязательства, оцениваемые по амортизированной стоимости: кредиторская задолженность</w:t>
      </w:r>
    </w:p>
    <w:p w:rsidR="004E02AA" w:rsidRDefault="004E02AA">
      <w:pPr>
        <w:pStyle w:val="ConsPlusNormal"/>
        <w:jc w:val="both"/>
      </w:pPr>
    </w:p>
    <w:p w:rsidR="004E02AA" w:rsidRDefault="004E02AA" w:rsidP="004E02AA">
      <w:pPr>
        <w:pStyle w:val="ConsPlusNormal"/>
        <w:outlineLvl w:val="1"/>
      </w:pPr>
      <w:r>
        <w:t>Кредиторская задолженность, оцениваемая по амортизированной стоимости</w:t>
      </w:r>
    </w:p>
    <w:p w:rsidR="004E02AA" w:rsidRDefault="004E02AA">
      <w:pPr>
        <w:pStyle w:val="ConsPlusNormal"/>
        <w:jc w:val="both"/>
      </w:pPr>
    </w:p>
    <w:p w:rsidR="004E02AA" w:rsidRDefault="004E02AA">
      <w:pPr>
        <w:pStyle w:val="ConsPlusNormal"/>
        <w:jc w:val="right"/>
      </w:pPr>
      <w:r>
        <w:t>Таблица 26.1</w:t>
      </w:r>
    </w:p>
    <w:p w:rsidR="004E02AA" w:rsidRDefault="004E02A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5102"/>
        <w:gridCol w:w="1644"/>
        <w:gridCol w:w="1644"/>
      </w:tblGrid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  <w:jc w:val="center"/>
            </w:pPr>
            <w:r>
              <w:t>_____ 20__ г.</w:t>
            </w: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  <w:jc w:val="center"/>
            </w:pPr>
            <w:r>
              <w:t>4</w:t>
            </w: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Кредиторская задолженность по информационно-технологическим услугам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Кредиторская задолженность по услугам по содержанию и аренде помещений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Кредиторская задолженность перед депозитариями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Кредиторская задолженность перед регистраторами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Кредиторская задолженность по торговым операциям, в том числе: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ind w:firstLine="283"/>
            </w:pPr>
            <w:r>
              <w:t>кредиторская задолженность перед брокерами и дилерами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ind w:firstLine="283"/>
            </w:pPr>
            <w:r>
              <w:t>кредиторская задолженность перед клиентами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Расчеты с посредниками по обслуживанию выпусков ценных бумаг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Расчеты с организаторами торговли, в том числе: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ind w:left="283"/>
            </w:pPr>
            <w:r>
              <w:t>на фондовом рынке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lastRenderedPageBreak/>
              <w:t>12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ind w:left="283"/>
            </w:pPr>
            <w:r>
              <w:t>на валютном рынке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ind w:left="283"/>
            </w:pPr>
            <w:r>
              <w:t>на срочном рынке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ind w:left="283"/>
            </w:pPr>
            <w:r>
              <w:t>на товарном рынке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  <w:ind w:left="283"/>
            </w:pPr>
            <w:r>
              <w:t>прочие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Расчеты с операторами товарных поставок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Расчеты с репозитарием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Расчеты с клиринговыми организациями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Расчеты с акционерами, участниками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5102" w:type="dxa"/>
          </w:tcPr>
          <w:p w:rsidR="004E02AA" w:rsidRDefault="004E02AA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:rsidR="004E02AA" w:rsidRDefault="004E02AA">
            <w:pPr>
              <w:pStyle w:val="ConsPlusNormal"/>
            </w:pPr>
          </w:p>
        </w:tc>
      </w:tr>
      <w:tr w:rsidR="004E02AA" w:rsidTr="00236103">
        <w:tc>
          <w:tcPr>
            <w:tcW w:w="680" w:type="dxa"/>
          </w:tcPr>
          <w:p w:rsidR="004E02AA" w:rsidRDefault="004E02AA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8390" w:type="dxa"/>
            <w:gridSpan w:val="3"/>
          </w:tcPr>
          <w:p w:rsidR="004E02AA" w:rsidRDefault="004E02AA">
            <w:pPr>
              <w:pStyle w:val="ConsPlusNormal"/>
            </w:pPr>
            <w:r>
              <w:t>Текстовое пояснение</w:t>
            </w:r>
          </w:p>
        </w:tc>
      </w:tr>
    </w:tbl>
    <w:p w:rsidR="004E02AA" w:rsidRDefault="004E02AA">
      <w:pPr>
        <w:pStyle w:val="ConsPlusNormal"/>
      </w:pPr>
      <w:hyperlink r:id="rId5">
        <w:r>
          <w:rPr>
            <w:i/>
            <w:color w:val="0000FF"/>
          </w:rPr>
          <w:br/>
        </w:r>
      </w:hyperlink>
      <w:r>
        <w:br/>
      </w:r>
    </w:p>
    <w:p w:rsidR="003F4643" w:rsidRPr="00C20A2A" w:rsidRDefault="00C20A2A">
      <w:pPr>
        <w:rPr>
          <w:color w:val="1F3864" w:themeColor="accent1" w:themeShade="80"/>
        </w:rPr>
      </w:pPr>
      <w:r w:rsidRPr="00C20A2A">
        <w:rPr>
          <w:color w:val="1F3864" w:themeColor="accent1" w:themeShade="80"/>
        </w:rPr>
        <w:t>Порядок заполнения строк и столбцов, перечень Контрагентов может дополняться при появлении новых.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2267"/>
        <w:gridCol w:w="6122"/>
      </w:tblGrid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Порядок определения значения показателя (счета бухгалтерского учета)</w:t>
            </w: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3</w:t>
            </w:r>
          </w:p>
        </w:tc>
      </w:tr>
      <w:tr w:rsidR="00C20A2A" w:rsidTr="000E2A55">
        <w:trPr>
          <w:trHeight w:val="3973"/>
        </w:trPr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0" w:name="P8"/>
            <w:bookmarkEnd w:id="0"/>
            <w:r>
              <w:t>1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Кредиторская задолженность по информационно-технологическим услугам</w:t>
            </w:r>
          </w:p>
        </w:tc>
        <w:tc>
          <w:tcPr>
            <w:tcW w:w="6122" w:type="dxa"/>
          </w:tcPr>
          <w:p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t>Остаток по счету 60311 Субконто1.Контрагент</w:t>
            </w:r>
          </w:p>
          <w:p w:rsidR="00C20A2A" w:rsidRDefault="00C20A2A" w:rsidP="000E2A5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АБИСОФТ ООО</w:t>
            </w:r>
          </w:p>
          <w:p w:rsidR="00C20A2A" w:rsidRDefault="00C20A2A" w:rsidP="000E2A5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АБИУС ООО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АЙТИ ЛАЙТ ООО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АКРИБИЯ. ПРОЕКТЫ И СЕРВИС ООО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ВИНВЕСТОР АО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ВЫМПЕЛКОМ ПАО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МАКОМНЕТ АО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МАСТЕРТЕЛ АО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МБ ЗАЩИТА ИНФОРМАЦИИ ООО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МЕГАФОН ПАО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ПАО МОСКОВСКАЯ БИРЖА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РНД СОФТ ООО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РОСТЕЛЕКОМ ПАО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СИНТЕГС ООО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СКРИН МАРКЕТ СИСТЕМЗ ООО</w:t>
            </w:r>
          </w:p>
          <w:p w:rsidR="00C20A2A" w:rsidRDefault="00C20A2A" w:rsidP="000E2A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ТУРБО ТЕХНОЛОГИИ ООО</w:t>
            </w:r>
          </w:p>
          <w:p w:rsidR="00C20A2A" w:rsidRDefault="00C20A2A" w:rsidP="000E2A55">
            <w:pPr>
              <w:spacing w:after="0" w:line="240" w:lineRule="auto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1" w:name="P11"/>
            <w:bookmarkEnd w:id="1"/>
            <w:r>
              <w:t>2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 xml:space="preserve">Кредиторская задолженность по услугам по содержанию и аренде </w:t>
            </w:r>
            <w:r>
              <w:lastRenderedPageBreak/>
              <w:t>помещений</w:t>
            </w:r>
          </w:p>
        </w:tc>
        <w:tc>
          <w:tcPr>
            <w:tcW w:w="6122" w:type="dxa"/>
          </w:tcPr>
          <w:p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lastRenderedPageBreak/>
              <w:t>Остаток по счету 60311 Субконто1.Контрагент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АПОЛЛО КОНСТРАКШН ООО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ВАЛОВАЯ 37 ООО</w:t>
            </w:r>
          </w:p>
          <w:p w:rsidR="00C20A2A" w:rsidRDefault="00C20A2A" w:rsidP="000E2A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УК ЛЕРТА КАПИТАЛ ООО</w:t>
            </w:r>
          </w:p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2" w:name="P14"/>
            <w:bookmarkEnd w:id="2"/>
            <w:r>
              <w:lastRenderedPageBreak/>
              <w:t>3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Кредиторская задолженность перед депозитариями</w:t>
            </w:r>
          </w:p>
        </w:tc>
        <w:tc>
          <w:tcPr>
            <w:tcW w:w="6122" w:type="dxa"/>
          </w:tcPr>
          <w:p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t>Остаток по счету 60311 Субконто1.Контрагент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НКО АО НРД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РАЙФФАЙЗЕНБАНК АО</w:t>
            </w:r>
          </w:p>
          <w:p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ТБАНК АО</w:t>
            </w:r>
          </w:p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3" w:name="P17"/>
            <w:bookmarkEnd w:id="3"/>
            <w:r>
              <w:t>4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Кредиторская задолженность перед регистраторами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4" w:name="P20"/>
            <w:bookmarkEnd w:id="4"/>
            <w:r>
              <w:t>5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Кредиторская задолженность по торговым операциям, в том числе: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ind w:firstLine="283"/>
            </w:pPr>
            <w:r>
              <w:t>кредиторская задолженность перед брокерами и дилерами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ind w:firstLine="283"/>
            </w:pPr>
            <w:r>
              <w:t>кредиторская задолженность перед клиентами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5" w:name="P29"/>
            <w:bookmarkEnd w:id="5"/>
            <w:r>
              <w:t>8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Расчеты с посредниками по обслуживанию выпусков ценных бумаг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6" w:name="P32"/>
            <w:bookmarkEnd w:id="6"/>
            <w:r>
              <w:t>9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7" w:name="P35"/>
            <w:bookmarkEnd w:id="7"/>
            <w:r>
              <w:t>10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Расчеты с организаторами торговли, в том числе: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  <w:r w:rsidRPr="00334C5B">
              <w:rPr>
                <w:color w:val="00B0F0"/>
              </w:rPr>
              <w:t>47403</w:t>
            </w: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ind w:firstLine="283"/>
            </w:pPr>
            <w:r>
              <w:t>на фондовом рынке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ind w:firstLine="283"/>
            </w:pPr>
            <w:r>
              <w:t>на валютном рынке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ind w:firstLine="283"/>
            </w:pPr>
            <w:r>
              <w:t>на срочном рынке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ind w:firstLine="283"/>
            </w:pPr>
            <w:r>
              <w:t>на товарном рынке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lastRenderedPageBreak/>
              <w:t>15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  <w:ind w:firstLine="283"/>
            </w:pPr>
            <w:r>
              <w:t>прочие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8" w:name="P53"/>
            <w:bookmarkEnd w:id="8"/>
            <w:r>
              <w:t>16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Расчеты с операторами товарных поставок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9" w:name="P56"/>
            <w:bookmarkEnd w:id="9"/>
            <w:r>
              <w:t>17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Расчеты с репозитарием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10" w:name="P59"/>
            <w:bookmarkEnd w:id="10"/>
            <w:r>
              <w:t>18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Расчеты с клиринговыми организациями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11" w:name="P62"/>
            <w:bookmarkEnd w:id="11"/>
            <w:r>
              <w:t>19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Расчеты с акционерами, участниками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  <w:r w:rsidRPr="00334C5B">
              <w:rPr>
                <w:color w:val="00B0F0"/>
              </w:rPr>
              <w:t>60320</w:t>
            </w: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bookmarkStart w:id="12" w:name="P65"/>
            <w:bookmarkEnd w:id="12"/>
            <w:r>
              <w:t>20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Прочее</w:t>
            </w:r>
          </w:p>
        </w:tc>
        <w:tc>
          <w:tcPr>
            <w:tcW w:w="6122" w:type="dxa"/>
          </w:tcPr>
          <w:p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t>Остаток по счету 60322 + Остаток по счету 60311 Субконто 1. Контрагент</w:t>
            </w:r>
          </w:p>
          <w:p w:rsidR="00C20A2A" w:rsidRPr="00334C5B" w:rsidRDefault="00C20A2A" w:rsidP="000E2A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Банк ГПБ (АО)</w:t>
            </w:r>
          </w:p>
        </w:tc>
      </w:tr>
      <w:tr w:rsidR="00C20A2A" w:rsidTr="000E2A55">
        <w:tc>
          <w:tcPr>
            <w:tcW w:w="680" w:type="dxa"/>
          </w:tcPr>
          <w:p w:rsidR="00C20A2A" w:rsidRDefault="00C20A2A" w:rsidP="000E2A55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267" w:type="dxa"/>
          </w:tcPr>
          <w:p w:rsidR="00C20A2A" w:rsidRDefault="00C20A2A" w:rsidP="000E2A55">
            <w:pPr>
              <w:pStyle w:val="ConsPlusNormal"/>
            </w:pPr>
            <w:r>
              <w:t>Итого</w:t>
            </w:r>
          </w:p>
        </w:tc>
        <w:tc>
          <w:tcPr>
            <w:tcW w:w="6122" w:type="dxa"/>
          </w:tcPr>
          <w:p w:rsidR="00C20A2A" w:rsidRDefault="00C20A2A" w:rsidP="000E2A55">
            <w:pPr>
              <w:pStyle w:val="ConsPlusNormal"/>
            </w:pPr>
            <w:hyperlink w:anchor="P8">
              <w:r>
                <w:rPr>
                  <w:color w:val="0000FF"/>
                </w:rPr>
                <w:t>строка 1</w:t>
              </w:r>
            </w:hyperlink>
            <w:r>
              <w:t xml:space="preserve"> + </w:t>
            </w:r>
            <w:hyperlink w:anchor="P11">
              <w:r>
                <w:rPr>
                  <w:color w:val="0000FF"/>
                </w:rPr>
                <w:t>строка 2</w:t>
              </w:r>
            </w:hyperlink>
            <w:r>
              <w:t xml:space="preserve"> + </w:t>
            </w:r>
            <w:hyperlink w:anchor="P14">
              <w:r>
                <w:rPr>
                  <w:color w:val="0000FF"/>
                </w:rPr>
                <w:t>строка 3</w:t>
              </w:r>
            </w:hyperlink>
            <w:r>
              <w:t xml:space="preserve"> + </w:t>
            </w:r>
            <w:hyperlink w:anchor="P17">
              <w:r>
                <w:rPr>
                  <w:color w:val="0000FF"/>
                </w:rPr>
                <w:t>строка 4</w:t>
              </w:r>
            </w:hyperlink>
            <w:r>
              <w:t xml:space="preserve"> + </w:t>
            </w:r>
            <w:hyperlink w:anchor="P20">
              <w:r>
                <w:rPr>
                  <w:color w:val="0000FF"/>
                </w:rPr>
                <w:t>строка 5</w:t>
              </w:r>
            </w:hyperlink>
            <w:r>
              <w:t xml:space="preserve"> + </w:t>
            </w:r>
            <w:hyperlink w:anchor="P29">
              <w:r>
                <w:rPr>
                  <w:color w:val="0000FF"/>
                </w:rPr>
                <w:t>строка 8</w:t>
              </w:r>
            </w:hyperlink>
            <w:r>
              <w:t xml:space="preserve"> + </w:t>
            </w:r>
            <w:hyperlink w:anchor="P32">
              <w:r>
                <w:rPr>
                  <w:color w:val="0000FF"/>
                </w:rPr>
                <w:t>строка 9</w:t>
              </w:r>
            </w:hyperlink>
            <w:r>
              <w:t xml:space="preserve"> + </w:t>
            </w:r>
            <w:hyperlink w:anchor="P35">
              <w:r>
                <w:rPr>
                  <w:color w:val="0000FF"/>
                </w:rPr>
                <w:t>строка 10</w:t>
              </w:r>
            </w:hyperlink>
            <w:r>
              <w:t xml:space="preserve"> + </w:t>
            </w:r>
            <w:hyperlink w:anchor="P53">
              <w:r>
                <w:rPr>
                  <w:color w:val="0000FF"/>
                </w:rPr>
                <w:t>строка 16</w:t>
              </w:r>
            </w:hyperlink>
            <w:r>
              <w:t xml:space="preserve"> + </w:t>
            </w:r>
            <w:hyperlink w:anchor="P56">
              <w:r>
                <w:rPr>
                  <w:color w:val="0000FF"/>
                </w:rPr>
                <w:t>строка 17</w:t>
              </w:r>
            </w:hyperlink>
            <w:r>
              <w:t xml:space="preserve"> + </w:t>
            </w:r>
            <w:hyperlink w:anchor="P59">
              <w:r>
                <w:rPr>
                  <w:color w:val="0000FF"/>
                </w:rPr>
                <w:t>строка 18</w:t>
              </w:r>
            </w:hyperlink>
            <w:r>
              <w:t xml:space="preserve"> + </w:t>
            </w:r>
            <w:hyperlink w:anchor="P62">
              <w:r>
                <w:rPr>
                  <w:color w:val="0000FF"/>
                </w:rPr>
                <w:t>строка 19</w:t>
              </w:r>
            </w:hyperlink>
            <w:r>
              <w:t xml:space="preserve"> + </w:t>
            </w:r>
            <w:hyperlink w:anchor="P65">
              <w:r>
                <w:rPr>
                  <w:color w:val="0000FF"/>
                </w:rPr>
                <w:t>строка 20</w:t>
              </w:r>
            </w:hyperlink>
          </w:p>
        </w:tc>
      </w:tr>
    </w:tbl>
    <w:p w:rsidR="00C20A2A" w:rsidRDefault="00C20A2A"/>
    <w:p w:rsidR="00C20A2A" w:rsidRPr="0089384A" w:rsidRDefault="00C20A2A">
      <w:pPr>
        <w:rPr>
          <w:color w:val="FF0000"/>
        </w:rPr>
      </w:pPr>
      <w:r w:rsidRPr="0089384A">
        <w:rPr>
          <w:color w:val="FF0000"/>
        </w:rPr>
        <w:t>Пример.</w:t>
      </w:r>
    </w:p>
    <w:p w:rsidR="00C20A2A" w:rsidRDefault="00C20A2A">
      <w:pPr>
        <w:rPr>
          <w:color w:val="FF0000"/>
        </w:rPr>
      </w:pPr>
      <w:r w:rsidRPr="0089384A">
        <w:rPr>
          <w:color w:val="FF0000"/>
        </w:rPr>
        <w:t>По состоянию на 31 августа 2025 года, сопостави</w:t>
      </w:r>
      <w:r w:rsidR="0089384A" w:rsidRPr="0089384A">
        <w:rPr>
          <w:color w:val="FF0000"/>
        </w:rPr>
        <w:t>мый период 31 декабря 2024 года.</w:t>
      </w:r>
    </w:p>
    <w:p w:rsidR="0089384A" w:rsidRDefault="0089384A" w:rsidP="0089384A">
      <w:pPr>
        <w:pStyle w:val="ConsPlusNormal"/>
        <w:outlineLvl w:val="0"/>
      </w:pPr>
      <w:r>
        <w:t>Примечание 26. Финансовые обязательства, оцениваемые по амортизированной стоимости: кредиторская задолженность</w:t>
      </w:r>
    </w:p>
    <w:p w:rsidR="0089384A" w:rsidRDefault="0089384A" w:rsidP="0089384A">
      <w:pPr>
        <w:pStyle w:val="ConsPlusNormal"/>
        <w:jc w:val="both"/>
      </w:pPr>
    </w:p>
    <w:p w:rsidR="0089384A" w:rsidRDefault="0089384A" w:rsidP="0089384A">
      <w:pPr>
        <w:pStyle w:val="ConsPlusNormal"/>
        <w:outlineLvl w:val="1"/>
      </w:pPr>
      <w:r>
        <w:t>Кредиторская задолженность, оцениваемая по амортизированной стоимости</w:t>
      </w:r>
    </w:p>
    <w:p w:rsidR="0089384A" w:rsidRDefault="0089384A" w:rsidP="0089384A">
      <w:pPr>
        <w:pStyle w:val="ConsPlusNormal"/>
        <w:jc w:val="both"/>
      </w:pPr>
    </w:p>
    <w:p w:rsidR="0089384A" w:rsidRDefault="0089384A" w:rsidP="0089384A">
      <w:pPr>
        <w:pStyle w:val="ConsPlusNormal"/>
        <w:jc w:val="right"/>
      </w:pPr>
      <w:r>
        <w:t>Таблица 26.1</w:t>
      </w:r>
    </w:p>
    <w:p w:rsidR="0089384A" w:rsidRDefault="0089384A" w:rsidP="0089384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5102"/>
        <w:gridCol w:w="1644"/>
        <w:gridCol w:w="1644"/>
      </w:tblGrid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89384A" w:rsidRPr="0089384A" w:rsidRDefault="0089384A" w:rsidP="0089384A">
            <w:pPr>
              <w:pStyle w:val="ConsPlusNormal"/>
              <w:rPr>
                <w:color w:val="FF0000"/>
              </w:rPr>
            </w:pPr>
            <w:r w:rsidRPr="0089384A">
              <w:rPr>
                <w:color w:val="FF0000"/>
              </w:rPr>
              <w:t xml:space="preserve"> 31 августа 2</w:t>
            </w:r>
            <w:r w:rsidRPr="0089384A">
              <w:rPr>
                <w:color w:val="FF0000"/>
              </w:rPr>
              <w:t>0</w:t>
            </w:r>
            <w:r w:rsidRPr="0089384A">
              <w:rPr>
                <w:color w:val="FF0000"/>
              </w:rPr>
              <w:t>25</w:t>
            </w:r>
            <w:r w:rsidRPr="0089384A">
              <w:rPr>
                <w:color w:val="FF0000"/>
              </w:rPr>
              <w:t xml:space="preserve"> г.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jc w:val="center"/>
              <w:rPr>
                <w:color w:val="FF0000"/>
              </w:rPr>
            </w:pPr>
            <w:r w:rsidRPr="0089384A">
              <w:rPr>
                <w:color w:val="FF0000"/>
              </w:rPr>
              <w:t xml:space="preserve">31 декабря </w:t>
            </w:r>
            <w:r w:rsidRPr="0089384A">
              <w:rPr>
                <w:color w:val="FF0000"/>
              </w:rPr>
              <w:t>20</w:t>
            </w:r>
            <w:r w:rsidRPr="0089384A">
              <w:rPr>
                <w:color w:val="FF0000"/>
              </w:rPr>
              <w:t>24</w:t>
            </w:r>
            <w:r w:rsidRPr="0089384A">
              <w:rPr>
                <w:color w:val="FF0000"/>
              </w:rPr>
              <w:t xml:space="preserve"> г.</w:t>
            </w: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4</w:t>
            </w: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Кредиторская задолженность по информационно-технологическим услугам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753 198,45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461 993,35</w:t>
            </w: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Кредиторская задолженность по услугам по содержанию и аренде помещений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302 557,69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330 066,05</w:t>
            </w: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Кредиторская задолженность перед депозитариями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2 866 815,36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1 646 540,27</w:t>
            </w: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Кредиторская задолженность перед регистраторами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lastRenderedPageBreak/>
              <w:t>5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Кредиторская задолженность по торговым операциям, в том числе: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ind w:firstLine="283"/>
            </w:pPr>
            <w:r>
              <w:t>кредиторская задолженность перед брокерами и дилерами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ind w:firstLine="283"/>
            </w:pPr>
            <w:r>
              <w:t>кредиторская задолженность перед клиентами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Расчеты с посредниками по обслуживанию выпусков ценных бумаг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Расчеты с организаторами торговли, в том числе: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ind w:left="283"/>
            </w:pPr>
            <w:r>
              <w:t>на фондовом рынке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ind w:left="283"/>
            </w:pPr>
            <w:r>
              <w:t>на валютном рынке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ind w:left="283"/>
            </w:pPr>
            <w:r>
              <w:t>на срочном рынке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ind w:left="283"/>
            </w:pPr>
            <w:r>
              <w:t>на товарном рынке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  <w:ind w:left="283"/>
            </w:pPr>
            <w:r>
              <w:t>прочие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Расчеты с операторами товарных поставок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Расчеты с репозитарием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bookmarkStart w:id="13" w:name="_GoBack"/>
        <w:bookmarkEnd w:id="13"/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Расчеты с клиринговыми организациями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Расчеты с акционерами, участниками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32 160,06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5102" w:type="dxa"/>
          </w:tcPr>
          <w:p w:rsidR="0089384A" w:rsidRDefault="0089384A" w:rsidP="000E2A55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3 954 731,56</w:t>
            </w:r>
          </w:p>
        </w:tc>
        <w:tc>
          <w:tcPr>
            <w:tcW w:w="1644" w:type="dxa"/>
          </w:tcPr>
          <w:p w:rsidR="0089384A" w:rsidRPr="0089384A" w:rsidRDefault="0089384A" w:rsidP="000E2A55">
            <w:pPr>
              <w:pStyle w:val="ConsPlusNormal"/>
              <w:rPr>
                <w:color w:val="00B0F0"/>
              </w:rPr>
            </w:pPr>
            <w:r w:rsidRPr="0089384A">
              <w:rPr>
                <w:color w:val="00B0F0"/>
              </w:rPr>
              <w:t>2 438 599,67</w:t>
            </w:r>
          </w:p>
        </w:tc>
      </w:tr>
      <w:tr w:rsidR="0089384A" w:rsidTr="000E2A55">
        <w:tc>
          <w:tcPr>
            <w:tcW w:w="680" w:type="dxa"/>
          </w:tcPr>
          <w:p w:rsidR="0089384A" w:rsidRDefault="0089384A" w:rsidP="000E2A55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8390" w:type="dxa"/>
            <w:gridSpan w:val="3"/>
          </w:tcPr>
          <w:p w:rsidR="0089384A" w:rsidRDefault="0089384A" w:rsidP="000E2A55">
            <w:pPr>
              <w:pStyle w:val="ConsPlusNormal"/>
            </w:pPr>
            <w:r>
              <w:t>Текстовое пояснение</w:t>
            </w:r>
          </w:p>
        </w:tc>
      </w:tr>
    </w:tbl>
    <w:p w:rsidR="0089384A" w:rsidRPr="0089384A" w:rsidRDefault="0089384A">
      <w:pPr>
        <w:rPr>
          <w:color w:val="FF0000"/>
        </w:rPr>
      </w:pPr>
    </w:p>
    <w:sectPr w:rsidR="0089384A" w:rsidRPr="0089384A" w:rsidSect="00EA4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AA"/>
    <w:rsid w:val="00380891"/>
    <w:rsid w:val="003F4643"/>
    <w:rsid w:val="004E02AA"/>
    <w:rsid w:val="007070C8"/>
    <w:rsid w:val="0089384A"/>
    <w:rsid w:val="00B56563"/>
    <w:rsid w:val="00C2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2CAE"/>
  <w15:chartTrackingRefBased/>
  <w15:docId w15:val="{21A8CAB8-ABD4-40C0-BBDA-0322A20B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E02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3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1</cp:revision>
  <dcterms:created xsi:type="dcterms:W3CDTF">2025-09-19T08:07:00Z</dcterms:created>
  <dcterms:modified xsi:type="dcterms:W3CDTF">2025-09-19T11:51:00Z</dcterms:modified>
</cp:coreProperties>
</file>