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TGH Planner 路径规划系统的</w:t>
        <w:br/>
        <w:t>数学原理、算法设计与工程实现</w:t>
      </w:r>
    </w:p>
    <w:p>
      <w:pPr>
        <w:ind w:firstLine="0"/>
        <w:jc w:val="center"/>
      </w:pPr>
      <w:r>
        <w:rPr>
          <w:color w:val="495F6F"/>
          <w:sz w:val="26"/>
        </w:rPr>
        <w:t>论文式技术文档 · 新员工路径规划学习材料</w:t>
      </w:r>
    </w:p>
    <w:p>
      <w:r>
        <w:br/>
        <w:br/>
      </w:r>
    </w:p>
    <w:p>
      <w:pPr>
        <w:ind w:firstLine="0"/>
        <w:jc w:val="center"/>
      </w:pPr>
      <w:r>
        <w:t>文档类型：代码驱动的技术分析与教学材料</w:t>
      </w:r>
    </w:p>
    <w:p>
      <w:pPr>
        <w:ind w:firstLine="0"/>
        <w:jc w:val="center"/>
      </w:pPr>
      <w:r>
        <w:t>代码基线：当前工作区 TGH Planner / ROS1 Noetic</w:t>
      </w:r>
    </w:p>
    <w:p>
      <w:pPr>
        <w:ind w:firstLine="0"/>
        <w:jc w:val="center"/>
      </w:pPr>
      <w:r>
        <w:t>说明：不虚构实验结果；公式与默认参数均以代码及配置为依据</w:t>
      </w:r>
    </w:p>
    <w:p>
      <w:r>
        <w:br w:type="page"/>
      </w:r>
    </w:p>
    <w:p>
      <w:pPr>
        <w:pStyle w:val="Heading1"/>
      </w:pPr>
      <w:r>
        <w:t>摘  要</w:t>
      </w:r>
    </w:p>
    <w:p>
      <w:r>
        <w:t>针对未知环境中非完整约束移动机器人路径规划问题，本文从本仓库当前实现出发，建立占据栅格、欧氏距离场、风险图、拓扑候选、两阶段风险评价、混合 A* 搜索与 B 样条轨迹优化的统一数学描述。文中推导 log odds 地图更新、离散尾部风险 CVaR、角速度约束启发式惩罚、候选集合归一化、可靠性评分以及车辆运动学搜索的核心公式，给出算法伪代码、计算复杂度和算例。尤其区分候选路径内部代价与最终引导路径效用，并明确可选 TCBS 与尚未接入主流程的拓扑稳定性接口，避免将理想化总目标误写成实际运行目标。本文面向新员工，兼顾数学基础、工程设计原因、实际代码调用链与诊断方法。</w:t>
      </w:r>
    </w:p>
    <w:p>
      <w:pPr>
        <w:ind w:firstLine="0"/>
      </w:pPr>
      <w:r>
        <w:t>关键词：移动机器人；未知环境；拓扑路径；CVaR；混合 A*；B 样条；风险感知规划</w:t>
      </w:r>
    </w:p>
    <w:p>
      <w:pPr>
        <w:pStyle w:val="Heading1"/>
      </w:pPr>
      <w:r>
        <w:t>符号与缩略语</w:t>
      </w:r>
    </w:p>
    <w:tbl>
      <w:tblPr>
        <w:tblStyle w:val="TableGrid"/>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1871"/>
            <w:vAlign w:val="center"/>
            <w:shd w:fill="DBE7F0"/>
          </w:tcPr>
          <w:p>
            <w:pPr>
              <w:spacing w:after="40"/>
              <w:ind w:firstLine="0"/>
            </w:pPr>
            <w:r>
              <w:rPr>
                <w:b/>
                <w:sz w:val="18"/>
              </w:rPr>
              <w:t>符号/缩略语</w:t>
            </w:r>
          </w:p>
        </w:tc>
        <w:tc>
          <w:tcPr>
            <w:tcW w:type="dxa" w:w="5443"/>
            <w:vAlign w:val="center"/>
            <w:shd w:fill="DBE7F0"/>
          </w:tcPr>
          <w:p>
            <w:pPr>
              <w:spacing w:after="40"/>
              <w:ind w:firstLine="0"/>
            </w:pPr>
            <w:r>
              <w:rPr>
                <w:b/>
                <w:sz w:val="18"/>
              </w:rPr>
              <w:t>含义</w:t>
            </w:r>
          </w:p>
        </w:tc>
        <w:tc>
          <w:tcPr>
            <w:tcW w:type="dxa" w:w="1757"/>
            <w:vAlign w:val="center"/>
            <w:shd w:fill="DBE7F0"/>
          </w:tcPr>
          <w:p>
            <w:pPr>
              <w:spacing w:after="40"/>
              <w:ind w:firstLine="0"/>
            </w:pPr>
            <w:r>
              <w:rPr>
                <w:b/>
                <w:sz w:val="18"/>
              </w:rPr>
              <w:t>单位或范围</w:t>
            </w:r>
          </w:p>
        </w:tc>
      </w:tr>
      <w:tr>
        <w:trPr>
          <w:cantSplit/>
        </w:trPr>
        <w:tc>
          <w:tcPr>
            <w:tcW w:type="dxa" w:w="1871"/>
            <w:vAlign w:val="center"/>
          </w:tcPr>
          <w:p>
            <w:pPr>
              <w:spacing w:after="40"/>
              <w:ind w:firstLine="0"/>
            </w:pPr>
            <w:r>
              <w:rPr>
                <w:sz w:val="18"/>
              </w:rPr>
              <w:t>p, L_p</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路径及其二维长度</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m</w:t>
            </w:r>
          </w:p>
        </w:tc>
      </w:tr>
      <w:tr>
        <w:trPr>
          <w:cantSplit/>
        </w:trPr>
        <w:tc>
          <w:tcPr>
            <w:tcW w:type="dxa" w:w="1871"/>
            <w:vAlign w:val="center"/>
          </w:tcPr>
          <w:p>
            <w:pPr>
              <w:spacing w:after="40"/>
              <w:ind w:firstLine="0"/>
            </w:pPr>
            <w:r>
              <w:rPr>
                <w:sz w:val="18"/>
              </w:rPr>
              <w:t>r_i, R_p</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采样点原始风险、路径风险</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评分值</w:t>
            </w:r>
          </w:p>
        </w:tc>
      </w:tr>
      <w:tr>
        <w:trPr>
          <w:cantSplit/>
        </w:trPr>
        <w:tc>
          <w:tcPr>
            <w:tcW w:type="dxa" w:w="1871"/>
            <w:vAlign w:val="center"/>
          </w:tcPr>
          <w:p>
            <w:pPr>
              <w:spacing w:after="40"/>
              <w:ind w:firstLine="0"/>
            </w:pPr>
            <w:r>
              <w:rPr>
                <w:sz w:val="18"/>
              </w:rPr>
              <w:t>d(x), w(x)</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ESDF 净空、近似走廊宽度</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m</w:t>
            </w:r>
          </w:p>
        </w:tc>
      </w:tr>
      <w:tr>
        <w:trPr>
          <w:cantSplit/>
        </w:trPr>
        <w:tc>
          <w:tcPr>
            <w:tcW w:type="dxa" w:w="1871"/>
            <w:vAlign w:val="center"/>
          </w:tcPr>
          <w:p>
            <w:pPr>
              <w:spacing w:after="40"/>
              <w:ind w:firstLine="0"/>
            </w:pPr>
            <w:r>
              <w:rPr>
                <w:sz w:val="18"/>
              </w:rPr>
              <w:t>q, K, M</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CVaR 尾部比例、Top-K、候选数</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无量纲/条</w:t>
            </w:r>
          </w:p>
        </w:tc>
      </w:tr>
      <w:tr>
        <w:trPr>
          <w:cantSplit/>
        </w:trPr>
        <w:tc>
          <w:tcPr>
            <w:tcW w:type="dxa" w:w="1871"/>
            <w:vAlign w:val="center"/>
          </w:tcPr>
          <w:p>
            <w:pPr>
              <w:spacing w:after="40"/>
              <w:ind w:firstLine="0"/>
            </w:pPr>
            <w:r>
              <w:rPr>
                <w:sz w:val="18"/>
              </w:rPr>
              <w:t>v, δ, θ</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车辆速度、前轮转角、航向</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m/s；rad</w:t>
            </w:r>
          </w:p>
        </w:tc>
      </w:tr>
      <w:tr>
        <w:trPr>
          <w:cantSplit/>
        </w:trPr>
        <w:tc>
          <w:tcPr>
            <w:tcW w:type="dxa" w:w="1871"/>
            <w:vAlign w:val="center"/>
          </w:tcPr>
          <w:p>
            <w:pPr>
              <w:spacing w:after="40"/>
              <w:ind w:firstLine="0"/>
            </w:pPr>
            <w:r>
              <w:rPr>
                <w:sz w:val="18"/>
              </w:rPr>
              <w:t>Q_i, Δt</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B 样条控制点、节点时间间隔</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m；s</w:t>
            </w:r>
          </w:p>
        </w:tc>
      </w:tr>
      <w:tr>
        <w:trPr>
          <w:cantSplit/>
        </w:trPr>
        <w:tc>
          <w:tcPr>
            <w:tcW w:type="dxa" w:w="1871"/>
            <w:vAlign w:val="center"/>
          </w:tcPr>
          <w:p>
            <w:pPr>
              <w:spacing w:after="40"/>
              <w:ind w:firstLine="0"/>
            </w:pPr>
            <w:r>
              <w:rPr>
                <w:sz w:val="18"/>
              </w:rPr>
              <w:t>AVC, PRS, TCBS</w:t>
            </w:r>
          </w:p>
        </w:tc>
        <w:tc>
          <w:tcPr>
            <w:tcW w:type="dxa" w:w="5443"/>
          </w:tcPr>
          <w:p>
            <w:pPr>
              <w:spacing w:after="40"/>
              <w:ind w:firstLine="0"/>
            </w:pPr>
          </w:p>
        </w:tc>
        <w:tc>
          <w:tcPr>
            <w:tcW w:type="dxa" w:w="1757"/>
          </w:tcPr>
          <w:p>
            <w:pPr>
              <w:spacing w:after="40"/>
              <w:ind w:firstLine="0"/>
            </w:pPr>
          </w:p>
        </w:tc>
      </w:tr>
      <w:tr>
        <w:trPr>
          <w:cantSplit/>
        </w:trPr>
        <w:tc>
          <w:tcPr>
            <w:tcW w:type="dxa" w:w="1871"/>
          </w:tcPr>
          <w:p>
            <w:pPr>
              <w:spacing w:after="40"/>
              <w:ind w:firstLine="0"/>
            </w:pPr>
          </w:p>
        </w:tc>
        <w:tc>
          <w:tcPr>
            <w:tcW w:type="dxa" w:w="5443"/>
            <w:vAlign w:val="center"/>
          </w:tcPr>
          <w:p>
            <w:pPr>
              <w:spacing w:after="40"/>
              <w:ind w:firstLine="0"/>
            </w:pPr>
            <w:r>
              <w:rPr>
                <w:sz w:val="18"/>
              </w:rPr>
              <w:t>角速度惩罚、路径可靠性评分、可选拓扑切换机制</w:t>
            </w:r>
          </w:p>
        </w:tc>
        <w:tc>
          <w:tcPr>
            <w:tcW w:type="dxa" w:w="1757"/>
          </w:tcPr>
          <w:p>
            <w:pPr>
              <w:spacing w:after="40"/>
              <w:ind w:firstLine="0"/>
            </w:pPr>
          </w:p>
        </w:tc>
      </w:tr>
      <w:tr>
        <w:trPr>
          <w:cantSplit/>
        </w:trPr>
        <w:tc>
          <w:tcPr>
            <w:tcW w:type="dxa" w:w="1871"/>
          </w:tcPr>
          <w:p>
            <w:pPr>
              <w:spacing w:after="40"/>
              <w:ind w:firstLine="0"/>
            </w:pPr>
          </w:p>
        </w:tc>
        <w:tc>
          <w:tcPr>
            <w:tcW w:type="dxa" w:w="5443"/>
          </w:tcPr>
          <w:p>
            <w:pPr>
              <w:spacing w:after="40"/>
              <w:ind w:firstLine="0"/>
            </w:pPr>
          </w:p>
        </w:tc>
        <w:tc>
          <w:tcPr>
            <w:tcW w:type="dxa" w:w="1757"/>
            <w:vAlign w:val="center"/>
          </w:tcPr>
          <w:p>
            <w:pPr>
              <w:spacing w:after="40"/>
              <w:ind w:firstLine="0"/>
            </w:pPr>
            <w:r>
              <w:rPr>
                <w:sz w:val="18"/>
              </w:rPr>
              <w:t>无量纲</w:t>
            </w:r>
          </w:p>
        </w:tc>
      </w:tr>
    </w:tbl>
    <w:p>
      <w:pPr>
        <w:spacing w:after="0"/>
      </w:pPr>
    </w:p>
    <w:p>
      <w:pPr>
        <w:pStyle w:val="Heading1"/>
      </w:pPr>
      <w:r>
        <w:t>1 研究问题与系统边界</w:t>
      </w:r>
    </w:p>
    <w:p>
      <w:r>
        <w:t>设二维工作空间为 Ω，已观测占据集为 O，未知集为 U。规划器在时刻 t 根据局部地图 M_t、车辆状态 s_t=(x,y,θ,v) 与目标 g，寻找可执行轨迹 p(τ)。严格形式可写为“最小化路径与风险代价，满足车辆运动学、障碍净空、速度和加速度约束”。然而本项目没有一次性求解一个全局联合优化问题，而采用分层近似：拓扑层扩大绕行选择，搜索层保证运动原语层面的可行性，B 样条层优化平滑性与时间约束，最终按采样重新验证。</w:t>
      </w:r>
    </w:p>
    <w:p>
      <w:pPr>
        <w:keepNext/>
        <w:spacing w:before="60" w:after="40"/>
        <w:ind w:firstLine="0"/>
        <w:jc w:val="center"/>
      </w:pPr>
      <w:r>
        <w:drawing>
          <wp:inline xmlns:a="http://schemas.openxmlformats.org/drawingml/2006/main" xmlns:pic="http://schemas.openxmlformats.org/drawingml/2006/picture">
            <wp:extent cx="4419600" cy="365760"/>
            <wp:docPr id="1" name="Picture 1" descr="Equation LaTeX: \min_{p,\,u} J(p,u)\quad\mathrm{s.t.}\quad\dot{s}=f(s,u),\ d(p(t))\geq d_{\min}"/>
            <wp:cNvGraphicFramePr>
              <a:graphicFrameLocks noChangeAspect="1"/>
            </wp:cNvGraphicFramePr>
            <a:graphic>
              <a:graphicData uri="http://schemas.openxmlformats.org/drawingml/2006/picture">
                <pic:pic>
                  <pic:nvPicPr>
                    <pic:cNvPr id="0" name="eq_01.png"/>
                    <pic:cNvPicPr/>
                  </pic:nvPicPr>
                  <pic:blipFill>
                    <a:blip r:embed="rId11"/>
                    <a:stretch>
                      <a:fillRect/>
                    </a:stretch>
                  </pic:blipFill>
                  <pic:spPr>
                    <a:xfrm>
                      <a:off x="0" y="0"/>
                      <a:ext cx="4419600" cy="365760"/>
                    </a:xfrm>
                    <a:prstGeom prst="rect"/>
                  </pic:spPr>
                </pic:pic>
              </a:graphicData>
            </a:graphic>
          </wp:inline>
        </w:drawing>
      </w:r>
    </w:p>
    <w:p>
      <w:pPr>
        <w:pStyle w:val="Caption"/>
        <w:ind w:firstLine="0"/>
        <w:jc w:val="center"/>
      </w:pPr>
      <w:r>
        <w:t>式（1） 概念层面的规划问题；不是当前代码中单个求解器的直接输入。</w:t>
      </w:r>
    </w:p>
    <w:p>
      <w:pPr>
        <w:ind w:firstLine="0"/>
        <w:jc w:val="center"/>
      </w:pPr>
      <w:r>
        <w:drawing>
          <wp:inline xmlns:a="http://schemas.openxmlformats.org/drawingml/2006/main" xmlns:pic="http://schemas.openxmlformats.org/drawingml/2006/picture">
            <wp:extent cx="5760000" cy="1502321"/>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760000" cy="1502321"/>
                    </a:xfrm>
                    <a:prstGeom prst="rect"/>
                  </pic:spPr>
                </pic:pic>
              </a:graphicData>
            </a:graphic>
          </wp:inline>
        </w:drawing>
      </w:r>
    </w:p>
    <w:p>
      <w:pPr>
        <w:pStyle w:val="Caption"/>
        <w:ind w:firstLine="0"/>
        <w:jc w:val="center"/>
      </w:pPr>
      <w:r>
        <w:t>图 1  当前主流程的分层规划与反馈关系</w:t>
      </w:r>
    </w:p>
    <w:p>
      <w:r>
        <w:t>代码入口为 plan_manage/launch/kino_replan.launch → kino_algorithm.xml → FastPlannerManager::TopoPathReplan() / kinodynamicReplan()。当前 TopoPathReplan() 调用 findVoroPaths()，而不是注释掉的 findTopoPaths()。随后 TopologyPRM::findGuidePath() 选择引导路径，KinodynamicAstar2D::search() 做车辆状态搜索，BsplineOptimizer 完成连续轨迹优化。</w:t>
      </w:r>
    </w:p>
    <w:p>
      <w:pPr>
        <w:pStyle w:val="Heading1"/>
      </w:pPr>
      <w:r>
        <w:t>2 占据地图、距离场与未知区风险</w:t>
      </w:r>
    </w:p>
    <w:p>
      <w:pPr>
        <w:pStyle w:val="Heading2"/>
      </w:pPr>
      <w:r>
        <w:t>2.1 log odds 的贝叶斯解释</w:t>
      </w:r>
    </w:p>
    <w:p>
      <w:r>
        <w:t>若单元格占据概率为 P(O)=p，则 odds=p/(1−p)，取对数得到可累加形式。射线末端命中对应正增量，射线经过未命中对应负增量。对观测独立性的近似使每次更新转化为一次加法，然后用上下界限制过度确信。</w:t>
      </w:r>
    </w:p>
    <w:p>
      <w:pPr>
        <w:keepNext/>
        <w:spacing w:before="60" w:after="40"/>
        <w:ind w:firstLine="0"/>
        <w:jc w:val="center"/>
      </w:pPr>
      <w:r>
        <w:drawing>
          <wp:inline xmlns:a="http://schemas.openxmlformats.org/drawingml/2006/main" xmlns:pic="http://schemas.openxmlformats.org/drawingml/2006/picture">
            <wp:extent cx="2817706" cy="342053"/>
            <wp:docPr id="3" name="Picture 3" descr="Equation LaTeX: \ell_t=\log\frac{p_t}{1-p_t},\qquad p_t=\frac{1}{1+e^{-\ell_t}}"/>
            <wp:cNvGraphicFramePr>
              <a:graphicFrameLocks noChangeAspect="1"/>
            </wp:cNvGraphicFramePr>
            <a:graphic>
              <a:graphicData uri="http://schemas.openxmlformats.org/drawingml/2006/picture">
                <pic:pic>
                  <pic:nvPicPr>
                    <pic:cNvPr id="0" name="eq_02.png"/>
                    <pic:cNvPicPr/>
                  </pic:nvPicPr>
                  <pic:blipFill>
                    <a:blip r:embed="rId13"/>
                    <a:stretch>
                      <a:fillRect/>
                    </a:stretch>
                  </pic:blipFill>
                  <pic:spPr>
                    <a:xfrm>
                      <a:off x="0" y="0"/>
                      <a:ext cx="2817706" cy="342053"/>
                    </a:xfrm>
                    <a:prstGeom prst="rect"/>
                  </pic:spPr>
                </pic:pic>
              </a:graphicData>
            </a:graphic>
          </wp:inline>
        </w:drawing>
      </w:r>
    </w:p>
    <w:p>
      <w:pPr>
        <w:pStyle w:val="Caption"/>
        <w:ind w:firstLine="0"/>
        <w:jc w:val="center"/>
      </w:pPr>
      <w:r>
        <w:t>式（2） 概率与 log odds 的互换。</w:t>
      </w:r>
    </w:p>
    <w:p>
      <w:pPr>
        <w:keepNext/>
        <w:spacing w:before="60" w:after="40"/>
        <w:ind w:firstLine="0"/>
        <w:jc w:val="center"/>
      </w:pPr>
      <w:r>
        <w:drawing>
          <wp:inline xmlns:a="http://schemas.openxmlformats.org/drawingml/2006/main" xmlns:pic="http://schemas.openxmlformats.org/drawingml/2006/picture">
            <wp:extent cx="3528906" cy="342053"/>
            <wp:docPr id="4" name="Picture 4" descr="Equation LaTeX: \ell_t=\mathrm{clip}(\ell_{t-1}+\log\frac{p_z}{1-p_z},\ell_{\min},\ell_{\max})"/>
            <wp:cNvGraphicFramePr>
              <a:graphicFrameLocks noChangeAspect="1"/>
            </wp:cNvGraphicFramePr>
            <a:graphic>
              <a:graphicData uri="http://schemas.openxmlformats.org/drawingml/2006/picture">
                <pic:pic>
                  <pic:nvPicPr>
                    <pic:cNvPr id="0" name="eq_03.png"/>
                    <pic:cNvPicPr/>
                  </pic:nvPicPr>
                  <pic:blipFill>
                    <a:blip r:embed="rId14"/>
                    <a:stretch>
                      <a:fillRect/>
                    </a:stretch>
                  </pic:blipFill>
                  <pic:spPr>
                    <a:xfrm>
                      <a:off x="0" y="0"/>
                      <a:ext cx="3528906" cy="342053"/>
                    </a:xfrm>
                    <a:prstGeom prst="rect"/>
                  </pic:spPr>
                </pic:pic>
              </a:graphicData>
            </a:graphic>
          </wp:inline>
        </w:drawing>
      </w:r>
    </w:p>
    <w:p>
      <w:pPr>
        <w:pStyle w:val="Caption"/>
        <w:ind w:firstLine="0"/>
        <w:jc w:val="center"/>
      </w:pPr>
      <w:r>
        <w:t>式（3） p_z 分别取命中或漏检参数；代码采用饱和截断。</w:t>
      </w:r>
    </w:p>
    <w:p>
      <w:r>
        <w:t>当前启动参数 p_hit=0.8、p_miss=0.4、p_occ=0.60，二维地图分辨率为 0.1 m。应区分“未观测”与“已观测空闲”：未知格缺少安全证据，即使其先验概率看似中性，也不应解释为可以高速通过。</w:t>
      </w:r>
    </w:p>
    <w:p>
      <w:pPr>
        <w:pStyle w:val="Heading2"/>
      </w:pPr>
      <w:r>
        <w:t>2.2 ESDF 与障碍膨胀</w:t>
      </w:r>
    </w:p>
    <w:p>
      <w:pPr>
        <w:keepNext/>
        <w:spacing w:before="60" w:after="40"/>
        <w:ind w:firstLine="0"/>
        <w:jc w:val="center"/>
      </w:pPr>
      <w:r>
        <w:drawing>
          <wp:inline xmlns:a="http://schemas.openxmlformats.org/drawingml/2006/main" xmlns:pic="http://schemas.openxmlformats.org/drawingml/2006/picture">
            <wp:extent cx="2032000" cy="314960"/>
            <wp:docPr id="5" name="Picture 5" descr="Equation LaTeX: d(\mathbf{x})=\min_{\mathbf{o}\in\mathcal{O}}\|\mathbf{x}-\mathbf{o}\|_2"/>
            <wp:cNvGraphicFramePr>
              <a:graphicFrameLocks noChangeAspect="1"/>
            </wp:cNvGraphicFramePr>
            <a:graphic>
              <a:graphicData uri="http://schemas.openxmlformats.org/drawingml/2006/picture">
                <pic:pic>
                  <pic:nvPicPr>
                    <pic:cNvPr id="0" name="eq_04.png"/>
                    <pic:cNvPicPr/>
                  </pic:nvPicPr>
                  <pic:blipFill>
                    <a:blip r:embed="rId15"/>
                    <a:stretch>
                      <a:fillRect/>
                    </a:stretch>
                  </pic:blipFill>
                  <pic:spPr>
                    <a:xfrm>
                      <a:off x="0" y="0"/>
                      <a:ext cx="2032000" cy="314960"/>
                    </a:xfrm>
                    <a:prstGeom prst="rect"/>
                  </pic:spPr>
                </pic:pic>
              </a:graphicData>
            </a:graphic>
          </wp:inline>
        </w:drawing>
      </w:r>
    </w:p>
    <w:p>
      <w:pPr>
        <w:pStyle w:val="Caption"/>
        <w:ind w:firstLine="0"/>
        <w:jc w:val="center"/>
      </w:pPr>
      <w:r>
        <w:t>式（4） 二维欧氏距离场的理想定义。</w:t>
      </w:r>
    </w:p>
    <w:p>
      <w:r>
        <w:t>SDFMap 维护占据和膨胀后障碍，并更新二维距离场。膨胀可把有限尺寸车辆的碰撞检查近似转换为点与膨胀障碍的距离判断。混合 A* 对整条运动原语采样，用 getDistance2D(x)&lt;obs_dis 拒绝；最终 B 样条另按 0.02 s 采样复核，拒绝净空小于 0.15 m 的轨迹点。二者阈值与对象不同，必须分别检查。</w:t>
      </w:r>
    </w:p>
    <w:p>
      <w:pPr>
        <w:pStyle w:val="Heading2"/>
      </w:pPr>
      <w:r>
        <w:t>2.3 风险图设计与未知区</w:t>
      </w:r>
    </w:p>
    <w:p>
      <w:pPr>
        <w:keepNext/>
        <w:spacing w:before="60" w:after="40"/>
        <w:ind w:firstLine="0"/>
        <w:jc w:val="center"/>
      </w:pPr>
      <w:r>
        <w:drawing>
          <wp:inline xmlns:a="http://schemas.openxmlformats.org/drawingml/2006/main" xmlns:pic="http://schemas.openxmlformats.org/drawingml/2006/picture">
            <wp:extent cx="3339253" cy="355600"/>
            <wp:docPr id="6" name="Picture 6" descr="Equation LaTeX: r_{\rm free}=\frac{\lambda_d}{\max(0,d)+\epsilon}+\frac{\lambda_c}{\max(0,w-w_r)+\epsilon}"/>
            <wp:cNvGraphicFramePr>
              <a:graphicFrameLocks noChangeAspect="1"/>
            </wp:cNvGraphicFramePr>
            <a:graphic>
              <a:graphicData uri="http://schemas.openxmlformats.org/drawingml/2006/picture">
                <pic:pic>
                  <pic:nvPicPr>
                    <pic:cNvPr id="0" name="eq_05.png"/>
                    <pic:cNvPicPr/>
                  </pic:nvPicPr>
                  <pic:blipFill>
                    <a:blip r:embed="rId16"/>
                    <a:stretch>
                      <a:fillRect/>
                    </a:stretch>
                  </pic:blipFill>
                  <pic:spPr>
                    <a:xfrm>
                      <a:off x="0" y="0"/>
                      <a:ext cx="3339253" cy="355600"/>
                    </a:xfrm>
                    <a:prstGeom prst="rect"/>
                  </pic:spPr>
                </pic:pic>
              </a:graphicData>
            </a:graphic>
          </wp:inline>
        </w:drawing>
      </w:r>
    </w:p>
    <w:p>
      <w:pPr>
        <w:pStyle w:val="Caption"/>
        <w:ind w:firstLine="0"/>
        <w:jc w:val="center"/>
      </w:pPr>
      <w:r>
        <w:t>式（5） 已知空闲格的距离风险与走廊风险。</w:t>
      </w:r>
    </w:p>
    <w:p>
      <w:pPr>
        <w:keepNext/>
        <w:spacing w:before="60" w:after="40"/>
        <w:ind w:firstLine="0"/>
        <w:jc w:val="center"/>
      </w:pPr>
      <w:r>
        <w:drawing>
          <wp:inline xmlns:a="http://schemas.openxmlformats.org/drawingml/2006/main" xmlns:pic="http://schemas.openxmlformats.org/drawingml/2006/picture">
            <wp:extent cx="3911600" cy="203200"/>
            <wp:docPr id="7" name="Picture 7" descr="Equation LaTeX: d_u=\max(d,w_r,h),\quad m_u=\max(w_r,h)"/>
            <wp:cNvGraphicFramePr>
              <a:graphicFrameLocks noChangeAspect="1"/>
            </wp:cNvGraphicFramePr>
            <a:graphic>
              <a:graphicData uri="http://schemas.openxmlformats.org/drawingml/2006/picture">
                <pic:pic>
                  <pic:nvPicPr>
                    <pic:cNvPr id="0" name="eq_06.png"/>
                    <pic:cNvPicPr/>
                  </pic:nvPicPr>
                  <pic:blipFill>
                    <a:blip r:embed="rId17"/>
                    <a:stretch>
                      <a:fillRect/>
                    </a:stretch>
                  </pic:blipFill>
                  <pic:spPr>
                    <a:xfrm>
                      <a:off x="0" y="0"/>
                      <a:ext cx="3911600" cy="203200"/>
                    </a:xfrm>
                    <a:prstGeom prst="rect"/>
                  </pic:spPr>
                </pic:pic>
              </a:graphicData>
            </a:graphic>
          </wp:inline>
        </w:drawing>
      </w:r>
    </w:p>
    <w:p>
      <w:pPr>
        <w:pStyle w:val="Caption"/>
        <w:ind w:firstLine="0"/>
        <w:jc w:val="center"/>
      </w:pPr>
      <w:r>
        <w:t>式（6） 未知格的假定净空与宽度余量。</w:t>
      </w:r>
    </w:p>
    <w:p>
      <w:pPr>
        <w:keepNext/>
        <w:spacing w:before="60" w:after="40"/>
        <w:ind w:firstLine="0"/>
        <w:jc w:val="center"/>
      </w:pPr>
      <w:r>
        <w:drawing>
          <wp:inline xmlns:a="http://schemas.openxmlformats.org/drawingml/2006/main" xmlns:pic="http://schemas.openxmlformats.org/drawingml/2006/picture">
            <wp:extent cx="2780453" cy="355600"/>
            <wp:docPr id="8" name="Picture 8" descr="Equation LaTeX: r_{\rm unknown}=\lambda_u+\frac{\lambda_d}{d_u+\epsilon}+\frac{\lambda_c}{m_u+\epsilon}"/>
            <wp:cNvGraphicFramePr>
              <a:graphicFrameLocks noChangeAspect="1"/>
            </wp:cNvGraphicFramePr>
            <a:graphic>
              <a:graphicData uri="http://schemas.openxmlformats.org/drawingml/2006/picture">
                <pic:pic>
                  <pic:nvPicPr>
                    <pic:cNvPr id="0" name="eq_07.png"/>
                    <pic:cNvPicPr/>
                  </pic:nvPicPr>
                  <pic:blipFill>
                    <a:blip r:embed="rId18"/>
                    <a:stretch>
                      <a:fillRect/>
                    </a:stretch>
                  </pic:blipFill>
                  <pic:spPr>
                    <a:xfrm>
                      <a:off x="0" y="0"/>
                      <a:ext cx="2780453" cy="355600"/>
                    </a:xfrm>
                    <a:prstGeom prst="rect"/>
                  </pic:spPr>
                </pic:pic>
              </a:graphicData>
            </a:graphic>
          </wp:inline>
        </w:drawing>
      </w:r>
    </w:p>
    <w:p>
      <w:pPr>
        <w:pStyle w:val="Caption"/>
        <w:ind w:firstLine="0"/>
        <w:jc w:val="center"/>
      </w:pPr>
      <w:r>
        <w:t>式（7） 未知区域的有限探索风险。</w:t>
      </w:r>
    </w:p>
    <w:p>
      <w:r>
        <w:t>其中 h 为地图分辨率，w_r 为车辆宽度参考值。走廊宽度由横向与纵向连续非占据栅格长度的较小值估算，属于离散启发式，不等价于任意方向上的真实走廊直径。已知占据格风险为无穷大，地图外查询也返回无穷大。未知格采用有限风险以允许探索，但这种处理不能证明尚未观测区域无障碍；在线感知和重规划是必要的闭环。</w:t>
      </w:r>
    </w:p>
    <w:p>
      <w:pPr>
        <w:keepNext/>
        <w:spacing w:before="60" w:after="40"/>
        <w:ind w:firstLine="0"/>
        <w:jc w:val="center"/>
      </w:pPr>
      <w:r>
        <w:drawing>
          <wp:inline xmlns:a="http://schemas.openxmlformats.org/drawingml/2006/main" xmlns:pic="http://schemas.openxmlformats.org/drawingml/2006/picture">
            <wp:extent cx="2397760" cy="304800"/>
            <wp:docPr id="9" name="Picture 9" descr="Equation LaTeX: v_{\rm display}(r)=\mathrm{round}\left(\frac{100r}{1+r}\right)"/>
            <wp:cNvGraphicFramePr>
              <a:graphicFrameLocks noChangeAspect="1"/>
            </wp:cNvGraphicFramePr>
            <a:graphic>
              <a:graphicData uri="http://schemas.openxmlformats.org/drawingml/2006/picture">
                <pic:pic>
                  <pic:nvPicPr>
                    <pic:cNvPr id="0" name="eq_08.png"/>
                    <pic:cNvPicPr/>
                  </pic:nvPicPr>
                  <pic:blipFill>
                    <a:blip r:embed="rId19"/>
                    <a:stretch>
                      <a:fillRect/>
                    </a:stretch>
                  </pic:blipFill>
                  <pic:spPr>
                    <a:xfrm>
                      <a:off x="0" y="0"/>
                      <a:ext cx="2397760" cy="304800"/>
                    </a:xfrm>
                    <a:prstGeom prst="rect"/>
                  </pic:spPr>
                </pic:pic>
              </a:graphicData>
            </a:graphic>
          </wp:inline>
        </w:drawing>
      </w:r>
    </w:p>
    <w:p>
      <w:pPr>
        <w:pStyle w:val="Caption"/>
        <w:ind w:firstLine="0"/>
        <w:jc w:val="center"/>
      </w:pPr>
      <w:r>
        <w:t>式（8） 仅用于 OccupancyGrid 可视化，阈值比较采用原始 double 风险。</w:t>
      </w:r>
    </w:p>
    <w:p>
      <w:pPr>
        <w:pStyle w:val="Heading1"/>
      </w:pPr>
      <w:r>
        <w:t>3 拓扑候选与路径类别</w:t>
      </w:r>
    </w:p>
    <w:p>
      <w:r>
        <w:t>单条连续轨迹优化通常是局部优化：若初始路径从障碍左侧绕行，梯度下降难以穿越障碍切换到右侧。拓扑路径集合的意义是显式保留不同绕行类别，先做离散方案选择，再做车辆可行性搜索和局部平滑。Voronoi 骨架上的点具有距多个障碍物边界近似相等的几何特性，常形成离障碍较远的通道中心线。</w:t>
      </w:r>
    </w:p>
    <w:p>
      <w:pPr>
        <w:ind w:firstLine="0"/>
        <w:jc w:val="center"/>
      </w:pPr>
      <w:r>
        <w:drawing>
          <wp:inline xmlns:a="http://schemas.openxmlformats.org/drawingml/2006/main" xmlns:pic="http://schemas.openxmlformats.org/drawingml/2006/picture">
            <wp:extent cx="5220000" cy="2176138"/>
            <wp:docPr id="10" name="Picture 10"/>
            <wp:cNvGraphicFramePr>
              <a:graphicFrameLocks noChangeAspect="1"/>
            </wp:cNvGraphicFramePr>
            <a:graphic>
              <a:graphicData uri="http://schemas.openxmlformats.org/drawingml/2006/picture">
                <pic:pic>
                  <pic:nvPicPr>
                    <pic:cNvPr id="0" name="topology.png"/>
                    <pic:cNvPicPr/>
                  </pic:nvPicPr>
                  <pic:blipFill>
                    <a:blip r:embed="rId20"/>
                    <a:stretch>
                      <a:fillRect/>
                    </a:stretch>
                  </pic:blipFill>
                  <pic:spPr>
                    <a:xfrm>
                      <a:off x="0" y="0"/>
                      <a:ext cx="5220000" cy="2176138"/>
                    </a:xfrm>
                    <a:prstGeom prst="rect"/>
                  </pic:spPr>
                </pic:pic>
              </a:graphicData>
            </a:graphic>
          </wp:inline>
        </w:drawing>
      </w:r>
    </w:p>
    <w:p>
      <w:pPr>
        <w:pStyle w:val="Caption"/>
        <w:ind w:firstLine="0"/>
        <w:jc w:val="center"/>
      </w:pPr>
      <w:r>
        <w:t>图 2  绕过同一障碍物的两类候选路径</w:t>
      </w:r>
    </w:p>
    <w:p>
      <w:r>
        <w:t>在连续拓扑中，固定起终点、避开障碍的两条曲线若可在自由空间内连续相互变形，可视为同伦；该项目的 sameTopoPath() 并不进行严格代数拓扑判定，而把两条路径离散为对应点，再对对应点与中点间的可见线段执行碰撞检查。采样过疏时可能误判，地图边界或局部变化也会改变路径类别。</w:t>
      </w:r>
    </w:p>
    <w:p>
      <w:pPr>
        <w:pStyle w:val="Caption"/>
        <w:ind w:firstLine="0"/>
        <w:jc w:val="center"/>
      </w:pPr>
      <w:r>
        <w:t>算法 1  拓扑候选生成与筛选（对应当前主入口）</w:t>
      </w:r>
    </w:p>
    <w:tbl>
      <w:tblPr>
        <w:tblStyle w:val="TableGrid"/>
        <w:tblW w:type="auto" w:w="0"/>
        <w:tblLook w:firstColumn="1" w:firstRow="1" w:lastColumn="0" w:lastRow="0" w:noHBand="0" w:noVBand="1" w:val="04A0"/>
      </w:tblPr>
      <w:tblGrid>
        <w:gridCol w:w="9128"/>
      </w:tblGrid>
      <w:tr>
        <w:tc>
          <w:tcPr>
            <w:tcW w:type="dxa" w:w="9128"/>
            <w:shd w:fill="F1F5F8"/>
          </w:tcPr>
          <w:p>
            <w:pPr>
              <w:pStyle w:val="Algorithm"/>
              <w:ind w:firstLine="0"/>
            </w:pPr>
            <w:r/>
            <w:r>
              <w:t>输入：当前地图 M，起点 s，终点 g，已有路径容器 C</w:t>
            </w:r>
          </w:p>
          <w:p>
            <w:pPr>
              <w:pStyle w:val="Algorithm"/>
              <w:ind w:firstLine="0"/>
            </w:pPr>
            <w:r>
              <w:t>1  更新地图的 Voronoi / 拓扑数据并调用 voro_plan(s, g)</w:t>
            </w:r>
          </w:p>
          <w:p>
            <w:pPr>
              <w:pStyle w:val="Algorithm"/>
              <w:ind w:firstLine="0"/>
            </w:pPr>
            <w:r>
              <w:t>2  提取短路径集合 P ← getVoroPaths()</w:t>
            </w:r>
          </w:p>
          <w:p>
            <w:pPr>
              <w:pStyle w:val="Algorithm"/>
              <w:ind w:firstLine="0"/>
            </w:pPr>
            <w:r>
              <w:t>3  用 sameTopoPath 近似去除等价路径</w:t>
            </w:r>
          </w:p>
          <w:p>
            <w:pPr>
              <w:pStyle w:val="Algorithm"/>
              <w:ind w:firstLine="0"/>
            </w:pPr>
            <w:r>
              <w:t>4  对路径做风险粗评和 Top-K 细评，更新前/后备容器</w:t>
            </w:r>
          </w:p>
          <w:p>
            <w:pPr>
              <w:pStyle w:val="Algorithm"/>
              <w:ind w:firstLine="0"/>
            </w:pPr>
            <w:r>
              <w:t>5  调用 findGuidePath() 产生本轮引导路径</w:t>
            </w:r>
          </w:p>
          <w:p>
            <w:pPr>
              <w:pStyle w:val="Algorithm"/>
              <w:ind w:firstLine="0"/>
            </w:pPr>
            <w:r>
              <w:t>输出：多条候选与一条引导路径；尚非最终控制轨迹</w:t>
            </w:r>
          </w:p>
        </w:tc>
      </w:tr>
    </w:tbl>
    <w:p>
      <w:pPr>
        <w:spacing w:after="0"/>
      </w:pPr>
    </w:p>
    <w:p>
      <w:pPr>
        <w:pStyle w:val="Heading1"/>
      </w:pPr>
      <w:r>
        <w:t>4 两阶段风险评价与尾部风险</w:t>
      </w:r>
    </w:p>
    <w:p>
      <w:pPr>
        <w:pStyle w:val="Heading2"/>
      </w:pPr>
      <w:r>
        <w:t>4.1 采样成本与 Top-K 设计</w:t>
      </w:r>
    </w:p>
    <w:p>
      <w:r>
        <w:t>设候选数 M、典型路径长 L、粗细采样间隔分别为 h_c、h_f，且 h_c≥h_f。全量细评的风险查询量约为 O(ML/h_f)；两阶段方案先给所有路径计算二维长度和粗均值风险，再只对 K 条路径精采样，查询量约为 O(ML/h_c+KL/h_f)。本仓库默认 h_c=1.0 m、h_f=0.1 m、K=10。partial_sort 降低筛选开销，线程局部风险缓冲区减少反复申请。</w:t>
      </w:r>
    </w:p>
    <w:p>
      <w:pPr>
        <w:keepNext/>
        <w:spacing w:before="60" w:after="40"/>
        <w:ind w:firstLine="0"/>
        <w:jc w:val="center"/>
      </w:pPr>
      <w:r>
        <w:drawing>
          <wp:inline xmlns:a="http://schemas.openxmlformats.org/drawingml/2006/main" xmlns:pic="http://schemas.openxmlformats.org/drawingml/2006/picture">
            <wp:extent cx="2424853" cy="467359"/>
            <wp:docPr id="11" name="Picture 11" descr="Equation LaTeX: S_p^{(c)}=\alpha\frac{L_p}{L_{\max}^{(c)}+\epsilon}+\beta\frac{R_p^{(c)}}{R_{\max}^{(c)}+\epsilon}"/>
            <wp:cNvGraphicFramePr>
              <a:graphicFrameLocks noChangeAspect="1"/>
            </wp:cNvGraphicFramePr>
            <a:graphic>
              <a:graphicData uri="http://schemas.openxmlformats.org/drawingml/2006/picture">
                <pic:pic>
                  <pic:nvPicPr>
                    <pic:cNvPr id="0" name="eq_09.png"/>
                    <pic:cNvPicPr/>
                  </pic:nvPicPr>
                  <pic:blipFill>
                    <a:blip r:embed="rId21"/>
                    <a:stretch>
                      <a:fillRect/>
                    </a:stretch>
                  </pic:blipFill>
                  <pic:spPr>
                    <a:xfrm>
                      <a:off x="0" y="0"/>
                      <a:ext cx="2424853" cy="467359"/>
                    </a:xfrm>
                    <a:prstGeom prst="rect"/>
                  </pic:spPr>
                </pic:pic>
              </a:graphicData>
            </a:graphic>
          </wp:inline>
        </w:drawing>
      </w:r>
    </w:p>
    <w:p>
      <w:pPr>
        <w:pStyle w:val="Caption"/>
        <w:ind w:firstLine="0"/>
        <w:jc w:val="center"/>
      </w:pPr>
      <w:r>
        <w:t>式（9） 粗评只使用长度与平均风险，不计算 AVC。</w:t>
      </w:r>
    </w:p>
    <w:p>
      <w:r>
        <w:t>粗评风险按边采样再按边平均。如果粗采样点恰好错过窄小高风险区域，候选可能进入细评；反过来，真正的优质路径也可能因粗评分被挡在 Top-K 外。故 K 和 h_c 是实时性与漏选概率的权衡，并非数学上保证保留全局最优解。</w:t>
      </w:r>
    </w:p>
    <w:p>
      <w:pPr>
        <w:pStyle w:val="Heading2"/>
      </w:pPr>
      <w:r>
        <w:t>4.2 平均风险、经验 CVaR 与最大风险</w:t>
      </w:r>
    </w:p>
    <w:p>
      <w:r>
        <w:t>对单条边得到 N 个有限原始风险样本 r_i。平均值衡量总体风险暴露，但对局部高峰不敏感。将样本降序排列 r_(1)≥…≥r_(N)，取 n=max(1,ceil(qN))，即最高 q 比例样本的经验尾部均值。</w:t>
      </w:r>
    </w:p>
    <w:p>
      <w:pPr>
        <w:keepNext/>
        <w:spacing w:before="60" w:after="40"/>
        <w:ind w:firstLine="0"/>
        <w:jc w:val="center"/>
      </w:pPr>
      <w:r>
        <w:drawing>
          <wp:inline xmlns:a="http://schemas.openxmlformats.org/drawingml/2006/main" xmlns:pic="http://schemas.openxmlformats.org/drawingml/2006/picture">
            <wp:extent cx="3224106" cy="596053"/>
            <wp:docPr id="12" name="Picture 12" descr="Equation LaTeX: R_{\rm avg}=\frac{1}{N}\sum_{i=1}^{N}r_i,\qquad R_{\max}=\max_i r_i"/>
            <wp:cNvGraphicFramePr>
              <a:graphicFrameLocks noChangeAspect="1"/>
            </wp:cNvGraphicFramePr>
            <a:graphic>
              <a:graphicData uri="http://schemas.openxmlformats.org/drawingml/2006/picture">
                <pic:pic>
                  <pic:nvPicPr>
                    <pic:cNvPr id="0" name="eq_10.png"/>
                    <pic:cNvPicPr/>
                  </pic:nvPicPr>
                  <pic:blipFill>
                    <a:blip r:embed="rId22"/>
                    <a:stretch>
                      <a:fillRect/>
                    </a:stretch>
                  </pic:blipFill>
                  <pic:spPr>
                    <a:xfrm>
                      <a:off x="0" y="0"/>
                      <a:ext cx="3224106" cy="596053"/>
                    </a:xfrm>
                    <a:prstGeom prst="rect"/>
                  </pic:spPr>
                </pic:pic>
              </a:graphicData>
            </a:graphic>
          </wp:inline>
        </w:drawing>
      </w:r>
    </w:p>
    <w:p>
      <w:pPr>
        <w:pStyle w:val="Caption"/>
        <w:ind w:firstLine="0"/>
        <w:jc w:val="center"/>
      </w:pPr>
      <w:r>
        <w:t>式（10） 均值与最大值承担不同作用。</w:t>
      </w:r>
    </w:p>
    <w:p>
      <w:pPr>
        <w:keepNext/>
        <w:spacing w:before="60" w:after="40"/>
        <w:ind w:firstLine="0"/>
        <w:jc w:val="center"/>
      </w:pPr>
      <w:r>
        <w:drawing>
          <wp:inline xmlns:a="http://schemas.openxmlformats.org/drawingml/2006/main" xmlns:pic="http://schemas.openxmlformats.org/drawingml/2006/picture">
            <wp:extent cx="4013200" cy="568960"/>
            <wp:docPr id="13" name="Picture 13" descr="Equation LaTeX: \mathrm{CVaR}_{1-q}^{\rm emp}=\frac{1}{n}\sum_{i=1}^{n}r_{(i)},\quad n=\max(1,\lceil qN\rceil)"/>
            <wp:cNvGraphicFramePr>
              <a:graphicFrameLocks noChangeAspect="1"/>
            </wp:cNvGraphicFramePr>
            <a:graphic>
              <a:graphicData uri="http://schemas.openxmlformats.org/drawingml/2006/picture">
                <pic:pic>
                  <pic:nvPicPr>
                    <pic:cNvPr id="0" name="eq_11.png"/>
                    <pic:cNvPicPr/>
                  </pic:nvPicPr>
                  <pic:blipFill>
                    <a:blip r:embed="rId23"/>
                    <a:stretch>
                      <a:fillRect/>
                    </a:stretch>
                  </pic:blipFill>
                  <pic:spPr>
                    <a:xfrm>
                      <a:off x="0" y="0"/>
                      <a:ext cx="4013200" cy="568960"/>
                    </a:xfrm>
                    <a:prstGeom prst="rect"/>
                  </pic:spPr>
                </pic:pic>
              </a:graphicData>
            </a:graphic>
          </wp:inline>
        </w:drawing>
      </w:r>
    </w:p>
    <w:p>
      <w:pPr>
        <w:pStyle w:val="Caption"/>
        <w:ind w:firstLine="0"/>
        <w:jc w:val="center"/>
      </w:pPr>
      <w:r>
        <w:t>式（11） 离散样本的最高风险尾部均值。</w:t>
      </w:r>
    </w:p>
    <w:p>
      <w:pPr>
        <w:keepNext/>
        <w:spacing w:before="60" w:after="40"/>
        <w:ind w:firstLine="0"/>
        <w:jc w:val="center"/>
      </w:pPr>
      <w:r>
        <w:drawing>
          <wp:inline xmlns:a="http://schemas.openxmlformats.org/drawingml/2006/main" xmlns:pic="http://schemas.openxmlformats.org/drawingml/2006/picture">
            <wp:extent cx="2729653" cy="304800"/>
            <wp:docPr id="14" name="Picture 14" descr="Equation LaTeX: R_e=R_{\rm avg}+\lambda_{\rm CVaR}\mathrm{CVaR}_{1-q}^{\rm emp}"/>
            <wp:cNvGraphicFramePr>
              <a:graphicFrameLocks noChangeAspect="1"/>
            </wp:cNvGraphicFramePr>
            <a:graphic>
              <a:graphicData uri="http://schemas.openxmlformats.org/drawingml/2006/picture">
                <pic:pic>
                  <pic:nvPicPr>
                    <pic:cNvPr id="0" name="eq_12.png"/>
                    <pic:cNvPicPr/>
                  </pic:nvPicPr>
                  <pic:blipFill>
                    <a:blip r:embed="rId24"/>
                    <a:stretch>
                      <a:fillRect/>
                    </a:stretch>
                  </pic:blipFill>
                  <pic:spPr>
                    <a:xfrm>
                      <a:off x="0" y="0"/>
                      <a:ext cx="2729653" cy="304800"/>
                    </a:xfrm>
                    <a:prstGeom prst="rect"/>
                  </pic:spPr>
                </pic:pic>
              </a:graphicData>
            </a:graphic>
          </wp:inline>
        </w:drawing>
      </w:r>
    </w:p>
    <w:p>
      <w:pPr>
        <w:pStyle w:val="Caption"/>
        <w:ind w:firstLine="0"/>
        <w:jc w:val="center"/>
      </w:pPr>
      <w:r>
        <w:t>式（12） 边风险的软评分；默认 q=0.1、权重为 1。</w:t>
      </w:r>
    </w:p>
    <w:p>
      <w:pPr>
        <w:keepNext/>
        <w:spacing w:before="60" w:after="40"/>
        <w:ind w:firstLine="0"/>
        <w:jc w:val="center"/>
      </w:pPr>
      <w:r>
        <w:drawing>
          <wp:inline xmlns:a="http://schemas.openxmlformats.org/drawingml/2006/main" xmlns:pic="http://schemas.openxmlformats.org/drawingml/2006/picture">
            <wp:extent cx="1270000" cy="596053"/>
            <wp:docPr id="15" name="Picture 15" descr="Equation LaTeX: R_p=\frac{1}{E}\sum_{e=1}^{E}R_e"/>
            <wp:cNvGraphicFramePr>
              <a:graphicFrameLocks noChangeAspect="1"/>
            </wp:cNvGraphicFramePr>
            <a:graphic>
              <a:graphicData uri="http://schemas.openxmlformats.org/drawingml/2006/picture">
                <pic:pic>
                  <pic:nvPicPr>
                    <pic:cNvPr id="0" name="eq_13.png"/>
                    <pic:cNvPicPr/>
                  </pic:nvPicPr>
                  <pic:blipFill>
                    <a:blip r:embed="rId25"/>
                    <a:stretch>
                      <a:fillRect/>
                    </a:stretch>
                  </pic:blipFill>
                  <pic:spPr>
                    <a:xfrm>
                      <a:off x="0" y="0"/>
                      <a:ext cx="1270000" cy="596053"/>
                    </a:xfrm>
                    <a:prstGeom prst="rect"/>
                  </pic:spPr>
                </pic:pic>
              </a:graphicData>
            </a:graphic>
          </wp:inline>
        </w:drawing>
      </w:r>
    </w:p>
    <w:p>
      <w:pPr>
        <w:pStyle w:val="Caption"/>
        <w:ind w:firstLine="0"/>
        <w:jc w:val="center"/>
      </w:pPr>
      <w:r>
        <w:t>式（13） 当前代码的路径风险是边风险的算术平均。</w:t>
      </w:r>
    </w:p>
    <w:p>
      <w:pPr>
        <w:ind w:firstLine="0"/>
        <w:jc w:val="center"/>
      </w:pPr>
      <w:r>
        <w:drawing>
          <wp:inline xmlns:a="http://schemas.openxmlformats.org/drawingml/2006/main" xmlns:pic="http://schemas.openxmlformats.org/drawingml/2006/picture">
            <wp:extent cx="5220000" cy="1809600"/>
            <wp:docPr id="16" name="Picture 16"/>
            <wp:cNvGraphicFramePr>
              <a:graphicFrameLocks noChangeAspect="1"/>
            </wp:cNvGraphicFramePr>
            <a:graphic>
              <a:graphicData uri="http://schemas.openxmlformats.org/drawingml/2006/picture">
                <pic:pic>
                  <pic:nvPicPr>
                    <pic:cNvPr id="0" name="risk_tail.png"/>
                    <pic:cNvPicPr/>
                  </pic:nvPicPr>
                  <pic:blipFill>
                    <a:blip r:embed="rId26"/>
                    <a:stretch>
                      <a:fillRect/>
                    </a:stretch>
                  </pic:blipFill>
                  <pic:spPr>
                    <a:xfrm>
                      <a:off x="0" y="0"/>
                      <a:ext cx="5220000" cy="1809600"/>
                    </a:xfrm>
                    <a:prstGeom prst="rect"/>
                  </pic:spPr>
                </pic:pic>
              </a:graphicData>
            </a:graphic>
          </wp:inline>
        </w:drawing>
      </w:r>
    </w:p>
    <w:p>
      <w:pPr>
        <w:pStyle w:val="Caption"/>
        <w:ind w:firstLine="0"/>
        <w:jc w:val="center"/>
      </w:pPr>
      <w:r>
        <w:t>图 3  高风险单点被均值稀释的示意算例</w:t>
      </w:r>
    </w:p>
    <w:p>
      <w:r>
        <w:t>图 3 的十个样本风险和为 13.5，均值仅 1.35，但 Top 10% 的 CVaR 为 8.0；若权重为 1，则边软风险为 9.35。再看最大风险：8.0 与硬阈值比较，不受平均值稀释。路径风险按边平均而非按弧长加权，因此改变折线分段数量可能改变结果，这属于实现层面需要理解的采样依赖性。</w:t>
      </w:r>
    </w:p>
    <w:p>
      <w:pPr>
        <w:keepNext/>
        <w:spacing w:before="60" w:after="40"/>
        <w:ind w:firstLine="0"/>
        <w:jc w:val="center"/>
      </w:pPr>
      <w:r>
        <w:drawing>
          <wp:inline xmlns:a="http://schemas.openxmlformats.org/drawingml/2006/main" xmlns:pic="http://schemas.openxmlformats.org/drawingml/2006/picture">
            <wp:extent cx="5435600" cy="203200"/>
            <wp:docPr id="17" name="Picture 17" descr="Equation LaTeX: \mathrm{feasible}(e)\Leftrightarrow r_i&lt;\infty\ \mathrm{for\ all}\ i,\quad R_{\max}\leq\min(T_{\rm risk},T_{\rm safe})"/>
            <wp:cNvGraphicFramePr>
              <a:graphicFrameLocks noChangeAspect="1"/>
            </wp:cNvGraphicFramePr>
            <a:graphic>
              <a:graphicData uri="http://schemas.openxmlformats.org/drawingml/2006/picture">
                <pic:pic>
                  <pic:nvPicPr>
                    <pic:cNvPr id="0" name="eq_14.png"/>
                    <pic:cNvPicPr/>
                  </pic:nvPicPr>
                  <pic:blipFill>
                    <a:blip r:embed="rId27"/>
                    <a:stretch>
                      <a:fillRect/>
                    </a:stretch>
                  </pic:blipFill>
                  <pic:spPr>
                    <a:xfrm>
                      <a:off x="0" y="0"/>
                      <a:ext cx="5435600" cy="203200"/>
                    </a:xfrm>
                    <a:prstGeom prst="rect"/>
                  </pic:spPr>
                </pic:pic>
              </a:graphicData>
            </a:graphic>
          </wp:inline>
        </w:drawing>
      </w:r>
    </w:p>
    <w:p>
      <w:pPr>
        <w:pStyle w:val="Caption"/>
        <w:ind w:firstLine="0"/>
        <w:jc w:val="center"/>
      </w:pPr>
      <w:r>
        <w:t>式（14） 单边风险的硬可行性；代码用“大于阈值”判无效。</w:t>
      </w:r>
    </w:p>
    <w:p>
      <w:pPr>
        <w:pStyle w:val="Caption"/>
        <w:ind w:firstLine="0"/>
        <w:jc w:val="center"/>
      </w:pPr>
      <w:r>
        <w:t>算法 2  RiskAwareEdge 两阶段评价伪代码</w:t>
      </w:r>
    </w:p>
    <w:tbl>
      <w:tblPr>
        <w:tblStyle w:val="TableGrid"/>
        <w:tblW w:type="auto" w:w="0"/>
        <w:tblLook w:firstColumn="1" w:firstRow="1" w:lastColumn="0" w:lastRow="0" w:noHBand="0" w:noVBand="1" w:val="04A0"/>
      </w:tblPr>
      <w:tblGrid>
        <w:gridCol w:w="9128"/>
      </w:tblGrid>
      <w:tr>
        <w:tc>
          <w:tcPr>
            <w:tcW w:type="dxa" w:w="9128"/>
            <w:shd w:fill="F1F5F8"/>
          </w:tcPr>
          <w:p>
            <w:pPr>
              <w:pStyle w:val="Algorithm"/>
              <w:ind w:firstLine="0"/>
            </w:pPr>
            <w:r/>
            <w:r>
              <w:t>输入：路径集 P，粗间距 h_c，细间距 h_f，K，风险阈值 T</w:t>
            </w:r>
          </w:p>
          <w:p>
            <w:pPr>
              <w:pStyle w:val="Algorithm"/>
              <w:ind w:firstLine="0"/>
            </w:pPr>
            <w:r>
              <w:t>coarse ← 对每条 p 计算 L_p 与粗风险；非法风险记为 +∞</w:t>
            </w:r>
          </w:p>
          <w:p>
            <w:pPr>
              <w:pStyle w:val="Algorithm"/>
              <w:ind w:firstLine="0"/>
            </w:pPr>
            <w:r>
              <w:t>用本轮粗指标最大值计算 S_p^(c)，partial_sort 选最小的 K 条</w:t>
            </w:r>
          </w:p>
          <w:p>
            <w:pPr>
              <w:pStyle w:val="Algorithm"/>
              <w:ind w:firstLine="0"/>
            </w:pPr>
            <w:r>
              <w:t>对每条入选路径：逐边细采样，检查 max risk &gt; T</w:t>
            </w:r>
          </w:p>
          <w:p>
            <w:pPr>
              <w:pStyle w:val="Algorithm"/>
              <w:ind w:firstLine="0"/>
            </w:pPr>
            <w:r>
              <w:t>若可行：计算样本均值、Top-q CVaR、AVC 与路径原始指标</w:t>
            </w:r>
          </w:p>
          <w:p>
            <w:pPr>
              <w:pStyle w:val="Algorithm"/>
              <w:ind w:firstLine="0"/>
            </w:pPr>
            <w:r>
              <w:t>对可行细评集合做长度/风险最大值归一化</w:t>
            </w:r>
          </w:p>
          <w:p>
            <w:pPr>
              <w:pStyle w:val="Algorithm"/>
              <w:ind w:firstLine="0"/>
            </w:pPr>
            <w:r>
              <w:t>输出：原路径下标、细评指标、归一化总代价与耗时日志</w:t>
            </w:r>
          </w:p>
        </w:tc>
      </w:tr>
    </w:tbl>
    <w:p>
      <w:pPr>
        <w:spacing w:after="0"/>
      </w:pPr>
    </w:p>
    <w:p>
      <w:pPr>
        <w:pStyle w:val="Heading1"/>
      </w:pPr>
      <w:r>
        <w:t>5 离散转弯代价与车辆非完整约束</w:t>
      </w:r>
    </w:p>
    <w:p>
      <w:r>
        <w:t>车辆不能横向移动，航向变化受转弯半径限制。为了在尚未进行车辆搜索前快速剔除很难执行的尖角，RiskAwareEdge 用三个二维离散路径点构造 AVC inspired 软代价。给定相邻向量 a=P_i−P_(i−1)、b=P_(i+1)−P_i，先归一化，再用 atan2(叉积,点积) 求有符号转角，绝对值范围为 [0,π]。</w:t>
      </w:r>
    </w:p>
    <w:p>
      <w:pPr>
        <w:keepNext/>
        <w:spacing w:before="60" w:after="40"/>
        <w:ind w:firstLine="0"/>
        <w:jc w:val="center"/>
      </w:pPr>
      <w:r>
        <w:drawing>
          <wp:inline xmlns:a="http://schemas.openxmlformats.org/drawingml/2006/main" xmlns:pic="http://schemas.openxmlformats.org/drawingml/2006/picture">
            <wp:extent cx="3274906" cy="328506"/>
            <wp:docPr id="18" name="Picture 18" descr="Equation LaTeX: \Delta\theta=\left|\operatorname{atan2}(\hat a_x\hat b_y-\hat a_y\hat b_x,\hat a\cdot\hat b)\right|"/>
            <wp:cNvGraphicFramePr>
              <a:graphicFrameLocks noChangeAspect="1"/>
            </wp:cNvGraphicFramePr>
            <a:graphic>
              <a:graphicData uri="http://schemas.openxmlformats.org/drawingml/2006/picture">
                <pic:pic>
                  <pic:nvPicPr>
                    <pic:cNvPr id="0" name="eq_15.png"/>
                    <pic:cNvPicPr/>
                  </pic:nvPicPr>
                  <pic:blipFill>
                    <a:blip r:embed="rId28"/>
                    <a:stretch>
                      <a:fillRect/>
                    </a:stretch>
                  </pic:blipFill>
                  <pic:spPr>
                    <a:xfrm>
                      <a:off x="0" y="0"/>
                      <a:ext cx="3274906" cy="328506"/>
                    </a:xfrm>
                    <a:prstGeom prst="rect"/>
                  </pic:spPr>
                </pic:pic>
              </a:graphicData>
            </a:graphic>
          </wp:inline>
        </w:drawing>
      </w:r>
    </w:p>
    <w:p>
      <w:pPr>
        <w:pStyle w:val="Caption"/>
        <w:ind w:firstLine="0"/>
        <w:jc w:val="center"/>
      </w:pPr>
      <w:r>
        <w:t>式（15） 平面折线的局部转角；退化短边返回零。</w:t>
      </w:r>
    </w:p>
    <w:p>
      <w:pPr>
        <w:keepNext/>
        <w:spacing w:before="60" w:after="40"/>
        <w:ind w:firstLine="0"/>
        <w:jc w:val="center"/>
      </w:pPr>
      <w:r>
        <w:drawing>
          <wp:inline xmlns:a="http://schemas.openxmlformats.org/drawingml/2006/main" xmlns:pic="http://schemas.openxmlformats.org/drawingml/2006/picture">
            <wp:extent cx="3464560" cy="365760"/>
            <wp:docPr id="19" name="Picture 19" descr="Equation LaTeX: \Delta t=\frac{\|b\|}{v_n},\quad\omega_{\rm req}=\frac{\Delta\theta}{\Delta t},\quad\omega_{\max}=\frac{v_n}{R_{\min}}"/>
            <wp:cNvGraphicFramePr>
              <a:graphicFrameLocks noChangeAspect="1"/>
            </wp:cNvGraphicFramePr>
            <a:graphic>
              <a:graphicData uri="http://schemas.openxmlformats.org/drawingml/2006/picture">
                <pic:pic>
                  <pic:nvPicPr>
                    <pic:cNvPr id="0" name="eq_16.png"/>
                    <pic:cNvPicPr/>
                  </pic:nvPicPr>
                  <pic:blipFill>
                    <a:blip r:embed="rId29"/>
                    <a:stretch>
                      <a:fillRect/>
                    </a:stretch>
                  </pic:blipFill>
                  <pic:spPr>
                    <a:xfrm>
                      <a:off x="0" y="0"/>
                      <a:ext cx="3464560" cy="365760"/>
                    </a:xfrm>
                    <a:prstGeom prst="rect"/>
                  </pic:spPr>
                </pic:pic>
              </a:graphicData>
            </a:graphic>
          </wp:inline>
        </w:drawing>
      </w:r>
    </w:p>
    <w:p>
      <w:pPr>
        <w:pStyle w:val="Caption"/>
        <w:ind w:firstLine="0"/>
        <w:jc w:val="center"/>
      </w:pPr>
      <w:r>
        <w:t>式（16） 用名义速度与最小转弯半径构造角速度比。</w:t>
      </w:r>
    </w:p>
    <w:p>
      <w:pPr>
        <w:keepNext/>
        <w:spacing w:before="60" w:after="40"/>
        <w:ind w:firstLine="0"/>
        <w:jc w:val="center"/>
      </w:pPr>
      <w:r>
        <w:drawing>
          <wp:inline xmlns:a="http://schemas.openxmlformats.org/drawingml/2006/main" xmlns:pic="http://schemas.openxmlformats.org/drawingml/2006/picture">
            <wp:extent cx="3921760" cy="406400"/>
            <wp:docPr id="20" name="Picture 20" descr="Equation LaTeX: \rho=\frac{|\omega_{\rm req}|}{\omega_{\max}+10^{-6}},\quad C_{\rm AVC}=\max(0,\rho-1)^2"/>
            <wp:cNvGraphicFramePr>
              <a:graphicFrameLocks noChangeAspect="1"/>
            </wp:cNvGraphicFramePr>
            <a:graphic>
              <a:graphicData uri="http://schemas.openxmlformats.org/drawingml/2006/picture">
                <pic:pic>
                  <pic:nvPicPr>
                    <pic:cNvPr id="0" name="eq_17.png"/>
                    <pic:cNvPicPr/>
                  </pic:nvPicPr>
                  <pic:blipFill>
                    <a:blip r:embed="rId30"/>
                    <a:stretch>
                      <a:fillRect/>
                    </a:stretch>
                  </pic:blipFill>
                  <pic:spPr>
                    <a:xfrm>
                      <a:off x="0" y="0"/>
                      <a:ext cx="3921760" cy="406400"/>
                    </a:xfrm>
                    <a:prstGeom prst="rect"/>
                  </pic:spPr>
                </pic:pic>
              </a:graphicData>
            </a:graphic>
          </wp:inline>
        </w:drawing>
      </w:r>
    </w:p>
    <w:p>
      <w:pPr>
        <w:pStyle w:val="Caption"/>
        <w:ind w:firstLine="0"/>
        <w:jc w:val="center"/>
      </w:pPr>
      <w:r>
        <w:t>式（17） 转弯要求未超过允许值时惩罚为零。</w:t>
      </w:r>
    </w:p>
    <w:p>
      <w:r>
        <w:t>忽略分母中的数值稳定项，ρ≈ΔθR_min/∥b∥，名义速度在比值中抵消。因而这项主要衡量角度相对路段长度与转弯半径是否过大；它既不能描述车体侧滑，也不能替代连续轨迹的角速度、转向角和跟踪控制约束。路径级 AVC 是边级 AVC 的平均值，第一条边由于没有前驱点，其 AVC 为零。</w:t>
      </w:r>
    </w:p>
    <w:p>
      <w:pPr>
        <w:pStyle w:val="Heading1"/>
      </w:pPr>
      <w:r>
        <w:t>6 归一化、可靠性与最终路径选择</w:t>
      </w:r>
    </w:p>
    <w:p>
      <w:pPr>
        <w:pStyle w:val="Heading2"/>
      </w:pPr>
      <w:r>
        <w:t>6.1 候选内部代价的尺度处理</w:t>
      </w:r>
    </w:p>
    <w:p>
      <w:r>
        <w:t>长度单位为米，原始风险来自风险图，AVC 是无量纲惩罚。直接相加时权重含义依赖地图大小和采样。RiskAwareEdge 先以本轮可行细评候选的最大长度、最大风险归一化，再按配置权重相加。AVC 不再二次归一化。</w:t>
      </w:r>
    </w:p>
    <w:p>
      <w:pPr>
        <w:keepNext/>
        <w:spacing w:before="60" w:after="40"/>
        <w:ind w:firstLine="0"/>
        <w:jc w:val="center"/>
      </w:pPr>
      <w:r>
        <w:drawing>
          <wp:inline xmlns:a="http://schemas.openxmlformats.org/drawingml/2006/main" xmlns:pic="http://schemas.openxmlformats.org/drawingml/2006/picture">
            <wp:extent cx="3556000" cy="365760"/>
            <wp:docPr id="21" name="Picture 21" descr="Equation LaTeX: J_p^{\rm edge}=\alpha\frac{L_p}{L_{\max}+\epsilon}+\beta\frac{R_p}{R_{\max}+\epsilon}+\gamma C_{{\rm AVC},p}"/>
            <wp:cNvGraphicFramePr>
              <a:graphicFrameLocks noChangeAspect="1"/>
            </wp:cNvGraphicFramePr>
            <a:graphic>
              <a:graphicData uri="http://schemas.openxmlformats.org/drawingml/2006/picture">
                <pic:pic>
                  <pic:nvPicPr>
                    <pic:cNvPr id="0" name="eq_18.png"/>
                    <pic:cNvPicPr/>
                  </pic:nvPicPr>
                  <pic:blipFill>
                    <a:blip r:embed="rId31"/>
                    <a:stretch>
                      <a:fillRect/>
                    </a:stretch>
                  </pic:blipFill>
                  <pic:spPr>
                    <a:xfrm>
                      <a:off x="0" y="0"/>
                      <a:ext cx="3556000" cy="365760"/>
                    </a:xfrm>
                    <a:prstGeom prst="rect"/>
                  </pic:spPr>
                </pic:pic>
              </a:graphicData>
            </a:graphic>
          </wp:inline>
        </w:drawing>
      </w:r>
    </w:p>
    <w:p>
      <w:pPr>
        <w:pStyle w:val="Caption"/>
        <w:ind w:firstLine="0"/>
        <w:jc w:val="center"/>
      </w:pPr>
      <w:r>
        <w:t>式（18） 候选内部的评价式；不可与最终选择器效用混用。</w:t>
      </w:r>
    </w:p>
    <w:p>
      <w:r>
        <w:t>分母中的 ε 处理最大值接近零的情况。此法保留单轮候选的相对差别，但其尺度随候选集合变化：同一条路径加入不同竞争者时，归一化得分可能改变。因此跨时刻切换滞回若要稳定，最好使用固定物理尺度或明确保存比较基准。</w:t>
      </w:r>
    </w:p>
    <w:p>
      <w:pPr>
        <w:pStyle w:val="Heading2"/>
      </w:pPr>
      <w:r>
        <w:t>6.2 PRS 的组成与解释</w:t>
      </w:r>
    </w:p>
    <w:p>
      <w:r>
        <w:t>PathReliabilityEvaluator 按路径弧长近似均匀取样，使用风险均值、ESDF 净空倒数均值、风险样本总体方差构造指数型分数。指数保证非负代价对应 (0,1] 范围，且任一风险项增加都会使分数降低。</w:t>
      </w:r>
    </w:p>
    <w:p>
      <w:pPr>
        <w:keepNext/>
        <w:spacing w:before="60" w:after="40"/>
        <w:ind w:firstLine="0"/>
        <w:jc w:val="center"/>
      </w:pPr>
      <w:r>
        <w:drawing>
          <wp:inline xmlns:a="http://schemas.openxmlformats.org/drawingml/2006/main" xmlns:pic="http://schemas.openxmlformats.org/drawingml/2006/picture">
            <wp:extent cx="3058160" cy="443653"/>
            <wp:docPr id="22" name="Picture 22" descr="Equation LaTeX: \bar r=\frac{1}{N}\sum_i r_i,\quad C_d=\frac{1}{N}\sum_i\frac{1}{\max(0,d_i)+\epsilon}"/>
            <wp:cNvGraphicFramePr>
              <a:graphicFrameLocks noChangeAspect="1"/>
            </wp:cNvGraphicFramePr>
            <a:graphic>
              <a:graphicData uri="http://schemas.openxmlformats.org/drawingml/2006/picture">
                <pic:pic>
                  <pic:nvPicPr>
                    <pic:cNvPr id="0" name="eq_19.png"/>
                    <pic:cNvPicPr/>
                  </pic:nvPicPr>
                  <pic:blipFill>
                    <a:blip r:embed="rId32"/>
                    <a:stretch>
                      <a:fillRect/>
                    </a:stretch>
                  </pic:blipFill>
                  <pic:spPr>
                    <a:xfrm>
                      <a:off x="0" y="0"/>
                      <a:ext cx="3058160" cy="443653"/>
                    </a:xfrm>
                    <a:prstGeom prst="rect"/>
                  </pic:spPr>
                </pic:pic>
              </a:graphicData>
            </a:graphic>
          </wp:inline>
        </w:drawing>
      </w:r>
    </w:p>
    <w:p>
      <w:pPr>
        <w:pStyle w:val="Caption"/>
        <w:ind w:firstLine="0"/>
        <w:jc w:val="center"/>
      </w:pPr>
      <w:r>
        <w:t>式（19） PRS 的风险均值和净空风险。</w:t>
      </w:r>
    </w:p>
    <w:p>
      <w:pPr>
        <w:keepNext/>
        <w:spacing w:before="60" w:after="40"/>
        <w:ind w:firstLine="0"/>
        <w:jc w:val="center"/>
      </w:pPr>
      <w:r>
        <w:drawing>
          <wp:inline xmlns:a="http://schemas.openxmlformats.org/drawingml/2006/main" xmlns:pic="http://schemas.openxmlformats.org/drawingml/2006/picture">
            <wp:extent cx="3962399" cy="443653"/>
            <wp:docPr id="23" name="Picture 23" descr="Equation LaTeX: \sigma_r^2=\frac{1}{N}\sum_i(r_i-\bar r)^2,\quad \mathrm{PRS}=e^{-a\bar r-bC_d-c\sigma_r^2}"/>
            <wp:cNvGraphicFramePr>
              <a:graphicFrameLocks noChangeAspect="1"/>
            </wp:cNvGraphicFramePr>
            <a:graphic>
              <a:graphicData uri="http://schemas.openxmlformats.org/drawingml/2006/picture">
                <pic:pic>
                  <pic:nvPicPr>
                    <pic:cNvPr id="0" name="eq_20.png"/>
                    <pic:cNvPicPr/>
                  </pic:nvPicPr>
                  <pic:blipFill>
                    <a:blip r:embed="rId33"/>
                    <a:stretch>
                      <a:fillRect/>
                    </a:stretch>
                  </pic:blipFill>
                  <pic:spPr>
                    <a:xfrm>
                      <a:off x="0" y="0"/>
                      <a:ext cx="3962399" cy="443653"/>
                    </a:xfrm>
                    <a:prstGeom prst="rect"/>
                  </pic:spPr>
                </pic:pic>
              </a:graphicData>
            </a:graphic>
          </wp:inline>
        </w:drawing>
      </w:r>
    </w:p>
    <w:p>
      <w:pPr>
        <w:pStyle w:val="Caption"/>
        <w:ind w:firstLine="0"/>
        <w:jc w:val="center"/>
      </w:pPr>
      <w:r>
        <w:t>式（20） 风险波动使局部高峰更难被平均值掩盖。</w:t>
      </w:r>
    </w:p>
    <w:p>
      <w:r>
        <w:t>PRS 是确定性评分，不是“安全概率”。其方差按整条路径等弧长采样，与上一节按每条边取最高 10% 的 CVaR 不是同一统计量。当前 YAML 默认开启 PRS，并用 λ_length=2、λ_risk=1、λ_prs=0.5 作为最终选择器权重。</w:t>
      </w:r>
    </w:p>
    <w:p>
      <w:pPr>
        <w:pStyle w:val="Heading2"/>
      </w:pPr>
      <w:r>
        <w:t>6.3 最终路径效用与朝向判优</w:t>
      </w:r>
    </w:p>
    <w:p>
      <w:r>
        <w:t>TopologyPRM::findGuidePath() 当前调用 selectBestPath()。选择器对自身候选集合分别做最小最大归一化：长度越短 s_L 越大，风险越高 s_R 越大。若某个指标没有跨度，归一化函数返回零，因此所有长度相同时长度得分为 1，所有风险相同时风险惩罚为 0。</w:t>
      </w:r>
    </w:p>
    <w:p>
      <w:pPr>
        <w:keepNext/>
        <w:spacing w:before="60" w:after="40"/>
        <w:ind w:firstLine="0"/>
        <w:jc w:val="center"/>
      </w:pPr>
      <w:r>
        <w:drawing>
          <wp:inline xmlns:a="http://schemas.openxmlformats.org/drawingml/2006/main" xmlns:pic="http://schemas.openxmlformats.org/drawingml/2006/picture">
            <wp:extent cx="3579706" cy="355600"/>
            <wp:docPr id="24" name="Picture 24" descr="Equation LaTeX: s_L=1-\frac{L-L_{\min}}{L_{\max}-L_{\min}},\qquad s_R=\frac{R-R_{\min}}{R_{\max}-R_{\min}}"/>
            <wp:cNvGraphicFramePr>
              <a:graphicFrameLocks noChangeAspect="1"/>
            </wp:cNvGraphicFramePr>
            <a:graphic>
              <a:graphicData uri="http://schemas.openxmlformats.org/drawingml/2006/picture">
                <pic:pic>
                  <pic:nvPicPr>
                    <pic:cNvPr id="0" name="eq_21.png"/>
                    <pic:cNvPicPr/>
                  </pic:nvPicPr>
                  <pic:blipFill>
                    <a:blip r:embed="rId34"/>
                    <a:stretch>
                      <a:fillRect/>
                    </a:stretch>
                  </pic:blipFill>
                  <pic:spPr>
                    <a:xfrm>
                      <a:off x="0" y="0"/>
                      <a:ext cx="3579706" cy="355600"/>
                    </a:xfrm>
                    <a:prstGeom prst="rect"/>
                  </pic:spPr>
                </pic:pic>
              </a:graphicData>
            </a:graphic>
          </wp:inline>
        </w:drawing>
      </w:r>
    </w:p>
    <w:p>
      <w:pPr>
        <w:pStyle w:val="Caption"/>
        <w:ind w:firstLine="0"/>
        <w:jc w:val="center"/>
      </w:pPr>
      <w:r>
        <w:t>式（21） 分母退化时按实现定义返回常量。</w:t>
      </w:r>
    </w:p>
    <w:p>
      <w:pPr>
        <w:keepNext/>
        <w:spacing w:before="60" w:after="40"/>
        <w:ind w:firstLine="0"/>
        <w:jc w:val="center"/>
      </w:pPr>
      <w:r>
        <w:drawing>
          <wp:inline xmlns:a="http://schemas.openxmlformats.org/drawingml/2006/main" xmlns:pic="http://schemas.openxmlformats.org/drawingml/2006/picture">
            <wp:extent cx="2692400" cy="240453"/>
            <wp:docPr id="25" name="Picture 25" descr="Equation LaTeX: U_p=\lambda_L s_L-\lambda_R s_R+\lambda_P\mathrm{PRS}_p"/>
            <wp:cNvGraphicFramePr>
              <a:graphicFrameLocks noChangeAspect="1"/>
            </wp:cNvGraphicFramePr>
            <a:graphic>
              <a:graphicData uri="http://schemas.openxmlformats.org/drawingml/2006/picture">
                <pic:pic>
                  <pic:nvPicPr>
                    <pic:cNvPr id="0" name="eq_22.png"/>
                    <pic:cNvPicPr/>
                  </pic:nvPicPr>
                  <pic:blipFill>
                    <a:blip r:embed="rId35"/>
                    <a:stretch>
                      <a:fillRect/>
                    </a:stretch>
                  </pic:blipFill>
                  <pic:spPr>
                    <a:xfrm>
                      <a:off x="0" y="0"/>
                      <a:ext cx="2692400" cy="240453"/>
                    </a:xfrm>
                    <a:prstGeom prst="rect"/>
                  </pic:spPr>
                </pic:pic>
              </a:graphicData>
            </a:graphic>
          </wp:inline>
        </w:drawing>
      </w:r>
    </w:p>
    <w:p>
      <w:pPr>
        <w:pStyle w:val="Caption"/>
        <w:ind w:firstLine="0"/>
        <w:jc w:val="center"/>
      </w:pPr>
      <w:r>
        <w:t>式（22） PRS 开启时最大化的最终引导路径效用。</w:t>
      </w:r>
    </w:p>
    <w:p>
      <w:r>
        <w:t>若 PRS 关闭，效用改为动态权重 w1_dyn·s_L−w2_dyn·s_R；在候选整体风险高或走廊宽时，代码分别上调对应权重。效用接近时，以初始航向误差较小者胜出。AVC 没有单独出现在 selectBestPath() 效用式中，虽然其在前面的 RiskAwareEdge 内部评价和筛选中计算。</w:t>
      </w:r>
    </w:p>
    <w:p>
      <w:pPr>
        <w:pStyle w:val="Heading2"/>
      </w:pPr>
      <w:r>
        <w:t>6.4 拓扑稳定性：代码存在与主流程生效的区别</w:t>
      </w:r>
    </w:p>
    <w:p>
      <w:r>
        <w:t>selectStablePath() 接口实现了异拓扑切换惩罚和收益门限：先把异拓扑候选代价加 λ_switch，再比较当前路径与挑战者；只有相对收益超过 switch_threshold 才切换。当前 findGuidePath() 没有调用这个接口，故不能把它写成默认生效机制。</w:t>
      </w:r>
    </w:p>
    <w:p>
      <w:pPr>
        <w:keepNext/>
        <w:spacing w:before="60" w:after="40"/>
        <w:ind w:firstLine="0"/>
        <w:jc w:val="center"/>
      </w:pPr>
      <w:r>
        <w:drawing>
          <wp:inline xmlns:a="http://schemas.openxmlformats.org/drawingml/2006/main" xmlns:pic="http://schemas.openxmlformats.org/drawingml/2006/picture">
            <wp:extent cx="3210560" cy="392853"/>
            <wp:docPr id="26" name="Picture 26" descr="Equation LaTeX: J^{\prime}_p=J_p+\lambda_s\mathbf{1}[\tau_p\ne\tau_c],\quad G=\frac{J_c-J^{\prime}_p}{J_c+\epsilon}"/>
            <wp:cNvGraphicFramePr>
              <a:graphicFrameLocks noChangeAspect="1"/>
            </wp:cNvGraphicFramePr>
            <a:graphic>
              <a:graphicData uri="http://schemas.openxmlformats.org/drawingml/2006/picture">
                <pic:pic>
                  <pic:nvPicPr>
                    <pic:cNvPr id="0" name="eq_23.png"/>
                    <pic:cNvPicPr/>
                  </pic:nvPicPr>
                  <pic:blipFill>
                    <a:blip r:embed="rId36"/>
                    <a:stretch>
                      <a:fillRect/>
                    </a:stretch>
                  </pic:blipFill>
                  <pic:spPr>
                    <a:xfrm>
                      <a:off x="0" y="0"/>
                      <a:ext cx="3210560" cy="392853"/>
                    </a:xfrm>
                    <a:prstGeom prst="rect"/>
                  </pic:spPr>
                </pic:pic>
              </a:graphicData>
            </a:graphic>
          </wp:inline>
        </w:drawing>
      </w:r>
    </w:p>
    <w:p>
      <w:pPr>
        <w:pStyle w:val="Caption"/>
        <w:ind w:firstLine="0"/>
        <w:jc w:val="center"/>
      </w:pPr>
      <w:r>
        <w:t>式（23） selectStablePath() 所提供的候选切换逻辑。</w:t>
      </w:r>
    </w:p>
    <w:p>
      <w:r>
        <w:t>可选 TCBS 默认关闭。开启时，以路径效率损失 E=clip(1−D/L,0,1) 与风险比例 R=clip(R_p/T_high,0,1) 的最大值 B=max(E,R) 作为瓶颈分数。若保持当前拓扑 Keep 可行，只有挑战者 B_challenger&lt;(1−η)B_keep 才切换；Keep 失效时允许强制切换。候选决定之后仍要验证最终优化轨迹并提交，避免仅依据拓扑引导路径更新执行状态。</w:t>
      </w:r>
    </w:p>
    <w:p>
      <w:pPr>
        <w:pStyle w:val="Heading1"/>
      </w:pPr>
      <w:r>
        <w:t>7 二维混合 A*、Dubins 连接与引导启发</w:t>
      </w:r>
    </w:p>
    <w:p>
      <w:pPr>
        <w:pStyle w:val="Heading2"/>
      </w:pPr>
      <w:r>
        <w:t>7.1 自行车运动学与曲率约束</w:t>
      </w:r>
    </w:p>
    <w:p>
      <w:r>
        <w:t>普通二维栅格 A* 只记录位置，不能区分同一格内的不同航向。混合 A* 把航向、速度并入状态，使用离散前轮转角生成运动原语。当前 stateTransit() 使用一阶欧拉积分，实际有效状态为 (x,y,θ,v)。</w:t>
      </w:r>
    </w:p>
    <w:p>
      <w:pPr>
        <w:keepNext/>
        <w:spacing w:before="60" w:after="40"/>
        <w:ind w:firstLine="0"/>
        <w:jc w:val="center"/>
      </w:pPr>
      <w:r>
        <w:drawing>
          <wp:inline xmlns:a="http://schemas.openxmlformats.org/drawingml/2006/main" xmlns:pic="http://schemas.openxmlformats.org/drawingml/2006/picture">
            <wp:extent cx="3593253" cy="355600"/>
            <wp:docPr id="27" name="Picture 27" descr="Equation LaTeX: \dot x=v\cos\theta,\quad\dot y=v\sin\theta,\quad\dot\theta=\frac{v\tan\delta}{L_w}"/>
            <wp:cNvGraphicFramePr>
              <a:graphicFrameLocks noChangeAspect="1"/>
            </wp:cNvGraphicFramePr>
            <a:graphic>
              <a:graphicData uri="http://schemas.openxmlformats.org/drawingml/2006/picture">
                <pic:pic>
                  <pic:nvPicPr>
                    <pic:cNvPr id="0" name="eq_24.png"/>
                    <pic:cNvPicPr/>
                  </pic:nvPicPr>
                  <pic:blipFill>
                    <a:blip r:embed="rId37"/>
                    <a:stretch>
                      <a:fillRect/>
                    </a:stretch>
                  </pic:blipFill>
                  <pic:spPr>
                    <a:xfrm>
                      <a:off x="0" y="0"/>
                      <a:ext cx="3593253" cy="355600"/>
                    </a:xfrm>
                    <a:prstGeom prst="rect"/>
                  </pic:spPr>
                </pic:pic>
              </a:graphicData>
            </a:graphic>
          </wp:inline>
        </w:drawing>
      </w:r>
    </w:p>
    <w:p>
      <w:pPr>
        <w:pStyle w:val="Caption"/>
        <w:ind w:firstLine="0"/>
        <w:jc w:val="center"/>
      </w:pPr>
      <w:r>
        <w:t>式（24） 无侧滑运动学自行车模型。</w:t>
      </w:r>
    </w:p>
    <w:p>
      <w:pPr>
        <w:keepNext/>
        <w:spacing w:before="60" w:after="40"/>
        <w:ind w:firstLine="0"/>
        <w:jc w:val="center"/>
      </w:pPr>
      <w:r>
        <w:drawing>
          <wp:inline xmlns:a="http://schemas.openxmlformats.org/drawingml/2006/main" xmlns:pic="http://schemas.openxmlformats.org/drawingml/2006/picture">
            <wp:extent cx="3034453" cy="379306"/>
            <wp:docPr id="28" name="Picture 28" descr="Equation LaTeX: \kappa=\frac{\dot\theta}{v}=\frac{\tan\delta}{L_w},\qquad R_{\min}=\frac{L_w}{\tan\delta_{\max}}"/>
            <wp:cNvGraphicFramePr>
              <a:graphicFrameLocks noChangeAspect="1"/>
            </wp:cNvGraphicFramePr>
            <a:graphic>
              <a:graphicData uri="http://schemas.openxmlformats.org/drawingml/2006/picture">
                <pic:pic>
                  <pic:nvPicPr>
                    <pic:cNvPr id="0" name="eq_25.png"/>
                    <pic:cNvPicPr/>
                  </pic:nvPicPr>
                  <pic:blipFill>
                    <a:blip r:embed="rId38"/>
                    <a:stretch>
                      <a:fillRect/>
                    </a:stretch>
                  </pic:blipFill>
                  <pic:spPr>
                    <a:xfrm>
                      <a:off x="0" y="0"/>
                      <a:ext cx="3034453" cy="379306"/>
                    </a:xfrm>
                    <a:prstGeom prst="rect"/>
                  </pic:spPr>
                </pic:pic>
              </a:graphicData>
            </a:graphic>
          </wp:inline>
        </w:drawing>
      </w:r>
    </w:p>
    <w:p>
      <w:pPr>
        <w:pStyle w:val="Caption"/>
        <w:ind w:firstLine="0"/>
        <w:jc w:val="center"/>
      </w:pPr>
      <w:r>
        <w:t>式（25） 曲率与最小转弯半径。</w:t>
      </w:r>
    </w:p>
    <w:p>
      <w:r>
        <w:t>搜索期间枚举离散速度、转角和持续时间，对原语内部的中间点查询 ESDF，不能只检查终点。代码目前倒车代价分支留有 TODO，启动配置 reverse_enable=false。路径评价器中的 min_turn_radius 是独立参数，若与搜索车辆模型半径不一致，AVC 应视为软启发。</w:t>
      </w:r>
    </w:p>
    <w:p>
      <w:pPr>
        <w:pStyle w:val="Heading2"/>
      </w:pPr>
      <w:r>
        <w:t>7.2 g、h 与加权启发搜索</w:t>
      </w:r>
    </w:p>
    <w:p>
      <w:pPr>
        <w:keepNext/>
        <w:spacing w:before="60" w:after="40"/>
        <w:ind w:firstLine="0"/>
        <w:jc w:val="center"/>
      </w:pPr>
      <w:r>
        <w:drawing>
          <wp:inline xmlns:a="http://schemas.openxmlformats.org/drawingml/2006/main" xmlns:pic="http://schemas.openxmlformats.org/drawingml/2006/picture">
            <wp:extent cx="2032000" cy="213360"/>
            <wp:docPr id="29" name="Picture 29" descr="Equation LaTeX: f(n)=g(n)+\lambda_hh(n)"/>
            <wp:cNvGraphicFramePr>
              <a:graphicFrameLocks noChangeAspect="1"/>
            </wp:cNvGraphicFramePr>
            <a:graphic>
              <a:graphicData uri="http://schemas.openxmlformats.org/drawingml/2006/picture">
                <pic:pic>
                  <pic:nvPicPr>
                    <pic:cNvPr id="0" name="eq_26.png"/>
                    <pic:cNvPicPr/>
                  </pic:nvPicPr>
                  <pic:blipFill>
                    <a:blip r:embed="rId39"/>
                    <a:stretch>
                      <a:fillRect/>
                    </a:stretch>
                  </pic:blipFill>
                  <pic:spPr>
                    <a:xfrm>
                      <a:off x="0" y="0"/>
                      <a:ext cx="2032000" cy="213360"/>
                    </a:xfrm>
                    <a:prstGeom prst="rect"/>
                  </pic:spPr>
                </pic:pic>
              </a:graphicData>
            </a:graphic>
          </wp:inline>
        </w:drawing>
      </w:r>
    </w:p>
    <w:p>
      <w:pPr>
        <w:pStyle w:val="Caption"/>
        <w:ind w:firstLine="0"/>
        <w:jc w:val="center"/>
      </w:pPr>
      <w:r>
        <w:t>式（26） 二维默认 λ_h=1.05。</w:t>
      </w:r>
    </w:p>
    <w:p>
      <w:r>
        <w:t>g 的增量主要由 v·τ 估计路程，转向与转向级别变化乘相应惩罚。无引导路径时 h 在远处用欧氏距离，靠近终点用 Dubins 距离；有引导路径时 h 使用 KD-tree 找最近引导点，取剩余引导路径长度并加横向偏离惩罚。后者只影响 OPEN 集排序，不强制轨迹穿过每个引导点。因为加权启发及动态引导项可能破坏可采纳性，不能直接声称结果为全局最短路。</w:t>
      </w:r>
    </w:p>
    <w:p>
      <w:pPr>
        <w:keepNext/>
        <w:spacing w:before="60" w:after="40"/>
        <w:ind w:firstLine="0"/>
        <w:jc w:val="center"/>
      </w:pPr>
      <w:r>
        <w:drawing>
          <wp:inline xmlns:a="http://schemas.openxmlformats.org/drawingml/2006/main" xmlns:pic="http://schemas.openxmlformats.org/drawingml/2006/picture">
            <wp:extent cx="3884506" cy="240453"/>
            <wp:docPr id="30" name="Picture 30" descr="Equation LaTeX: h_{\rm guide}(n)=D_{\rm remain}(\pi(n))+w_d\,d_{\perp}(n,\pi)"/>
            <wp:cNvGraphicFramePr>
              <a:graphicFrameLocks noChangeAspect="1"/>
            </wp:cNvGraphicFramePr>
            <a:graphic>
              <a:graphicData uri="http://schemas.openxmlformats.org/drawingml/2006/picture">
                <pic:pic>
                  <pic:nvPicPr>
                    <pic:cNvPr id="0" name="eq_27.png"/>
                    <pic:cNvPicPr/>
                  </pic:nvPicPr>
                  <pic:blipFill>
                    <a:blip r:embed="rId40"/>
                    <a:stretch>
                      <a:fillRect/>
                    </a:stretch>
                  </pic:blipFill>
                  <pic:spPr>
                    <a:xfrm>
                      <a:off x="0" y="0"/>
                      <a:ext cx="3884506" cy="240453"/>
                    </a:xfrm>
                    <a:prstGeom prst="rect"/>
                  </pic:spPr>
                </pic:pic>
              </a:graphicData>
            </a:graphic>
          </wp:inline>
        </w:drawing>
      </w:r>
    </w:p>
    <w:p>
      <w:pPr>
        <w:pStyle w:val="Caption"/>
        <w:ind w:firstLine="0"/>
        <w:jc w:val="center"/>
      </w:pPr>
      <w:r>
        <w:t>式（27） 当前引导启发的核心形式；w_d 沿引导路径位置变化。</w:t>
      </w:r>
    </w:p>
    <w:p>
      <w:r>
        <w:t>接近目标时尝试 Dubins 连接，逐段对地图边界与障碍净空做检查。规划可能返回 REACH_END、REACH_HORIZON、NEAR_END 或 NO_PATH；到达局部视界只意味着当前局部段可用，后续仍依赖 FSM 重规划。若两次搜索都返回 NO_PATH，日志会出现 “Can’t find path!! in retry.”，应定位地图、原语碰撞、起终点或搜索预算，而不是只调风险权重。</w:t>
      </w:r>
    </w:p>
    <w:p>
      <w:pPr>
        <w:pStyle w:val="Caption"/>
        <w:ind w:firstLine="0"/>
        <w:jc w:val="center"/>
      </w:pPr>
      <w:r>
        <w:t>算法 3  KinodynamicAstar2D 搜索主体</w:t>
      </w:r>
    </w:p>
    <w:tbl>
      <w:tblPr>
        <w:tblStyle w:val="TableGrid"/>
        <w:tblW w:type="auto" w:w="0"/>
        <w:tblLook w:firstColumn="1" w:firstRow="1" w:lastColumn="0" w:lastRow="0" w:noHBand="0" w:noVBand="1" w:val="04A0"/>
      </w:tblPr>
      <w:tblGrid>
        <w:gridCol w:w="9128"/>
      </w:tblGrid>
      <w:tr>
        <w:tc>
          <w:tcPr>
            <w:tcW w:type="dxa" w:w="9128"/>
            <w:shd w:fill="F1F5F8"/>
          </w:tcPr>
          <w:p>
            <w:pPr>
              <w:pStyle w:val="Algorithm"/>
              <w:ind w:firstLine="0"/>
            </w:pPr>
            <w:r/>
            <w:r>
              <w:t>输入：状态 s0、目标 sg、ESDF 地图、可选拓扑引导路径 π</w:t>
            </w:r>
          </w:p>
          <w:p>
            <w:pPr>
              <w:pStyle w:val="Algorithm"/>
              <w:ind w:firstLine="0"/>
            </w:pPr>
            <w:r>
              <w:t>OPEN ← {s0}，g(s0)=0；初始化预分配节点池</w:t>
            </w:r>
          </w:p>
          <w:p>
            <w:pPr>
              <w:pStyle w:val="Algorithm"/>
              <w:ind w:firstLine="0"/>
            </w:pPr>
            <w:r>
              <w:t>while OPEN 非空：</w:t>
            </w:r>
          </w:p>
          <w:p>
            <w:pPr>
              <w:pStyle w:val="Algorithm"/>
              <w:ind w:firstLine="0"/>
            </w:pPr>
            <w:r>
              <w:t xml:space="preserve">  弹出 f 最小节点 n；若接近目标，尝试 Dubins shot 与碰撞检查</w:t>
            </w:r>
          </w:p>
          <w:p>
            <w:pPr>
              <w:pStyle w:val="Algorithm"/>
              <w:ind w:firstLine="0"/>
            </w:pPr>
            <w:r>
              <w:t xml:space="preserve">  若抵达局部视界，则返回已搜索前缀</w:t>
            </w:r>
          </w:p>
          <w:p>
            <w:pPr>
              <w:pStyle w:val="Algorithm"/>
              <w:ind w:firstLine="0"/>
            </w:pPr>
            <w:r>
              <w:t xml:space="preserve">  for 转向 δ、速度 v、持续时间 τ：</w:t>
            </w:r>
          </w:p>
          <w:p>
            <w:pPr>
              <w:pStyle w:val="Algorithm"/>
              <w:ind w:firstLine="0"/>
            </w:pPr>
            <w:r>
              <w:t xml:space="preserve">    用自行车模型逐小步积分；任一步 ESDF&lt;obs_dis 则拒绝</w:t>
            </w:r>
          </w:p>
          <w:p>
            <w:pPr>
              <w:pStyle w:val="Algorithm"/>
              <w:ind w:firstLine="0"/>
            </w:pPr>
            <w:r>
              <w:t xml:space="preserve">    计算 g、h、f；按离散位置/航向状态更新 OPEN</w:t>
            </w:r>
          </w:p>
          <w:p>
            <w:pPr>
              <w:pStyle w:val="Algorithm"/>
              <w:ind w:firstLine="0"/>
            </w:pPr>
            <w:r>
              <w:t>OPEN 耗尽则返回 NO_PATH；失败后管理器可重试非连续初态</w:t>
            </w:r>
          </w:p>
        </w:tc>
      </w:tr>
    </w:tbl>
    <w:p>
      <w:pPr>
        <w:spacing w:after="0"/>
      </w:pPr>
    </w:p>
    <w:p>
      <w:pPr>
        <w:pStyle w:val="Heading1"/>
      </w:pPr>
      <w:r>
        <w:t>8 三次 B 样条优化与最终验收</w:t>
      </w:r>
    </w:p>
    <w:p>
      <w:pPr>
        <w:pStyle w:val="Heading2"/>
      </w:pPr>
      <w:r>
        <w:t>8.1 基函数、局部支撑与导数</w:t>
      </w:r>
    </w:p>
    <w:p>
      <w:pPr>
        <w:keepNext/>
        <w:spacing w:before="60" w:after="40"/>
        <w:ind w:firstLine="0"/>
        <w:jc w:val="center"/>
      </w:pPr>
      <w:r>
        <w:drawing>
          <wp:inline xmlns:a="http://schemas.openxmlformats.org/drawingml/2006/main" xmlns:pic="http://schemas.openxmlformats.org/drawingml/2006/picture">
            <wp:extent cx="1737360" cy="443653"/>
            <wp:docPr id="31" name="Picture 31" descr="Equation LaTeX: \mathbf{p}(t)=\sum_iN_{i,3}(t)\mathbf{Q}_i"/>
            <wp:cNvGraphicFramePr>
              <a:graphicFrameLocks noChangeAspect="1"/>
            </wp:cNvGraphicFramePr>
            <a:graphic>
              <a:graphicData uri="http://schemas.openxmlformats.org/drawingml/2006/picture">
                <pic:pic>
                  <pic:nvPicPr>
                    <pic:cNvPr id="0" name="eq_28.png"/>
                    <pic:cNvPicPr/>
                  </pic:nvPicPr>
                  <pic:blipFill>
                    <a:blip r:embed="rId41"/>
                    <a:stretch>
                      <a:fillRect/>
                    </a:stretch>
                  </pic:blipFill>
                  <pic:spPr>
                    <a:xfrm>
                      <a:off x="0" y="0"/>
                      <a:ext cx="1737360" cy="443653"/>
                    </a:xfrm>
                    <a:prstGeom prst="rect"/>
                  </pic:spPr>
                </pic:pic>
              </a:graphicData>
            </a:graphic>
          </wp:inline>
        </w:drawing>
      </w:r>
    </w:p>
    <w:p>
      <w:pPr>
        <w:pStyle w:val="Caption"/>
        <w:ind w:firstLine="0"/>
        <w:jc w:val="center"/>
      </w:pPr>
      <w:r>
        <w:t>式（28） 三次 B 样条轨迹表示。</w:t>
      </w:r>
    </w:p>
    <w:p>
      <w:r>
        <w:t>节点向量决定基函数的非零区间。Cox–de Boor 递推从零次片段指示函数生成高次基函数；局部支撑让一组控制点仅影响邻近曲线段，便于局部梯度优化。在有效参数区间，非负基函数和为 1，故曲线位于相关控制点的凸包中。</w:t>
      </w:r>
    </w:p>
    <w:p>
      <w:pPr>
        <w:keepNext/>
        <w:spacing w:before="60" w:after="40"/>
        <w:ind w:firstLine="0"/>
        <w:jc w:val="center"/>
      </w:pPr>
      <w:r>
        <w:drawing>
          <wp:inline xmlns:a="http://schemas.openxmlformats.org/drawingml/2006/main" xmlns:pic="http://schemas.openxmlformats.org/drawingml/2006/picture">
            <wp:extent cx="4226560" cy="314960"/>
            <wp:docPr id="32" name="Picture 32" descr="Equation LaTeX: N_{i,k}=\frac{t-u_i}{u_{i+k}-u_i}N_{i,k-1}+\frac{u_{i+k+1}-t}{u_{i+k+1}-u_{i+1}}N_{i+1,k-1}"/>
            <wp:cNvGraphicFramePr>
              <a:graphicFrameLocks noChangeAspect="1"/>
            </wp:cNvGraphicFramePr>
            <a:graphic>
              <a:graphicData uri="http://schemas.openxmlformats.org/drawingml/2006/picture">
                <pic:pic>
                  <pic:nvPicPr>
                    <pic:cNvPr id="0" name="eq_29.png"/>
                    <pic:cNvPicPr/>
                  </pic:nvPicPr>
                  <pic:blipFill>
                    <a:blip r:embed="rId42"/>
                    <a:stretch>
                      <a:fillRect/>
                    </a:stretch>
                  </pic:blipFill>
                  <pic:spPr>
                    <a:xfrm>
                      <a:off x="0" y="0"/>
                      <a:ext cx="4226560" cy="314960"/>
                    </a:xfrm>
                    <a:prstGeom prst="rect"/>
                  </pic:spPr>
                </pic:pic>
              </a:graphicData>
            </a:graphic>
          </wp:inline>
        </w:drawing>
      </w:r>
    </w:p>
    <w:p>
      <w:pPr>
        <w:pStyle w:val="Caption"/>
        <w:ind w:firstLine="0"/>
        <w:jc w:val="center"/>
      </w:pPr>
      <w:r>
        <w:t>式（29） 分母为零时该项按零处理。</w:t>
      </w:r>
    </w:p>
    <w:p>
      <w:pPr>
        <w:keepNext/>
        <w:spacing w:before="60" w:after="40"/>
        <w:ind w:firstLine="0"/>
        <w:jc w:val="center"/>
      </w:pPr>
      <w:r>
        <w:drawing>
          <wp:inline xmlns:a="http://schemas.openxmlformats.org/drawingml/2006/main" xmlns:pic="http://schemas.openxmlformats.org/drawingml/2006/picture">
            <wp:extent cx="3528906" cy="240453"/>
            <wp:docPr id="33" name="Picture 33" descr="Equation LaTeX: \Delta^3Q_i=Q_{i+3}-3Q_{i+2}+3Q_{i+1}-Q_i"/>
            <wp:cNvGraphicFramePr>
              <a:graphicFrameLocks noChangeAspect="1"/>
            </wp:cNvGraphicFramePr>
            <a:graphic>
              <a:graphicData uri="http://schemas.openxmlformats.org/drawingml/2006/picture">
                <pic:pic>
                  <pic:nvPicPr>
                    <pic:cNvPr id="0" name="eq_30.png"/>
                    <pic:cNvPicPr/>
                  </pic:nvPicPr>
                  <pic:blipFill>
                    <a:blip r:embed="rId43"/>
                    <a:stretch>
                      <a:fillRect/>
                    </a:stretch>
                  </pic:blipFill>
                  <pic:spPr>
                    <a:xfrm>
                      <a:off x="0" y="0"/>
                      <a:ext cx="3528906" cy="240453"/>
                    </a:xfrm>
                    <a:prstGeom prst="rect"/>
                  </pic:spPr>
                </pic:pic>
              </a:graphicData>
            </a:graphic>
          </wp:inline>
        </w:drawing>
      </w:r>
    </w:p>
    <w:p>
      <w:pPr>
        <w:pStyle w:val="Caption"/>
        <w:ind w:firstLine="0"/>
        <w:jc w:val="center"/>
      </w:pPr>
      <w:r>
        <w:t>式（30） 三阶差分近似控制点离散 jerk。</w:t>
      </w:r>
    </w:p>
    <w:p>
      <w:pPr>
        <w:pStyle w:val="Heading2"/>
      </w:pPr>
      <w:r>
        <w:t>8.2 目标函数与软约束</w:t>
      </w:r>
    </w:p>
    <w:p>
      <w:r>
        <w:t>NORMAL_PHASE 组合平滑、距离和可行性三类代价。平滑项为三阶差分平方和；距离项在控制点低于障碍阈值时增加代价；可行性项对差分速度与加速度超限做平方惩罚。另有引导、感知、航向等可选阶段。权重是优化器内部权重，不能与 RiskAwareEdge 的 α、β、γ 混作同一层参数。</w:t>
      </w:r>
    </w:p>
    <w:p>
      <w:pPr>
        <w:keepNext/>
        <w:spacing w:before="60" w:after="40"/>
        <w:ind w:firstLine="0"/>
        <w:jc w:val="center"/>
      </w:pPr>
      <w:r>
        <w:drawing>
          <wp:inline xmlns:a="http://schemas.openxmlformats.org/drawingml/2006/main" xmlns:pic="http://schemas.openxmlformats.org/drawingml/2006/picture">
            <wp:extent cx="3657600" cy="240453"/>
            <wp:docPr id="34" name="Picture 34" descr="Equation LaTeX: J_{\rm opt}=\lambda_1J_{\rm smooth}+\lambda_2J_{\rm dist}+\lambda_3J_{\rm feas}+\cdots"/>
            <wp:cNvGraphicFramePr>
              <a:graphicFrameLocks noChangeAspect="1"/>
            </wp:cNvGraphicFramePr>
            <a:graphic>
              <a:graphicData uri="http://schemas.openxmlformats.org/drawingml/2006/picture">
                <pic:pic>
                  <pic:nvPicPr>
                    <pic:cNvPr id="0" name="eq_31.png"/>
                    <pic:cNvPicPr/>
                  </pic:nvPicPr>
                  <pic:blipFill>
                    <a:blip r:embed="rId44"/>
                    <a:stretch>
                      <a:fillRect/>
                    </a:stretch>
                  </pic:blipFill>
                  <pic:spPr>
                    <a:xfrm>
                      <a:off x="0" y="0"/>
                      <a:ext cx="3657600" cy="240453"/>
                    </a:xfrm>
                    <a:prstGeom prst="rect"/>
                  </pic:spPr>
                </pic:pic>
              </a:graphicData>
            </a:graphic>
          </wp:inline>
        </w:drawing>
      </w:r>
    </w:p>
    <w:p>
      <w:pPr>
        <w:pStyle w:val="Caption"/>
        <w:ind w:firstLine="0"/>
        <w:jc w:val="center"/>
      </w:pPr>
      <w:r>
        <w:t>式（31） NORMAL_PHASE 至少包含前三项。</w:t>
      </w:r>
    </w:p>
    <w:p>
      <w:pPr>
        <w:keepNext/>
        <w:spacing w:before="60" w:after="40"/>
        <w:ind w:firstLine="0"/>
        <w:jc w:val="center"/>
      </w:pPr>
      <w:r>
        <w:drawing>
          <wp:inline xmlns:a="http://schemas.openxmlformats.org/drawingml/2006/main" xmlns:pic="http://schemas.openxmlformats.org/drawingml/2006/picture">
            <wp:extent cx="1889760" cy="443653"/>
            <wp:docPr id="35" name="Picture 35" descr="Equation LaTeX: J_{\rm smooth}=\sum_i\|\Delta^3Q_i\|^2"/>
            <wp:cNvGraphicFramePr>
              <a:graphicFrameLocks noChangeAspect="1"/>
            </wp:cNvGraphicFramePr>
            <a:graphic>
              <a:graphicData uri="http://schemas.openxmlformats.org/drawingml/2006/picture">
                <pic:pic>
                  <pic:nvPicPr>
                    <pic:cNvPr id="0" name="eq_32.png"/>
                    <pic:cNvPicPr/>
                  </pic:nvPicPr>
                  <pic:blipFill>
                    <a:blip r:embed="rId45"/>
                    <a:stretch>
                      <a:fillRect/>
                    </a:stretch>
                  </pic:blipFill>
                  <pic:spPr>
                    <a:xfrm>
                      <a:off x="0" y="0"/>
                      <a:ext cx="1889760" cy="443653"/>
                    </a:xfrm>
                    <a:prstGeom prst="rect"/>
                  </pic:spPr>
                </pic:pic>
              </a:graphicData>
            </a:graphic>
          </wp:inline>
        </w:drawing>
      </w:r>
    </w:p>
    <w:p>
      <w:pPr>
        <w:pStyle w:val="Caption"/>
        <w:ind w:firstLine="0"/>
        <w:jc w:val="center"/>
      </w:pPr>
      <w:r>
        <w:t>式（32） 当前实现使用的平滑代价。</w:t>
      </w:r>
    </w:p>
    <w:p>
      <w:pPr>
        <w:keepNext/>
        <w:spacing w:before="60" w:after="40"/>
        <w:ind w:firstLine="0"/>
        <w:jc w:val="center"/>
      </w:pPr>
      <w:r>
        <w:drawing>
          <wp:inline xmlns:a="http://schemas.openxmlformats.org/drawingml/2006/main" xmlns:pic="http://schemas.openxmlformats.org/drawingml/2006/picture">
            <wp:extent cx="5384800" cy="443653"/>
            <wp:docPr id="36" name="Picture 36" descr="Equation LaTeX: J_{\rm feas}\sim\sum_i[\max(0,v_i^2-v_{\max}^2)]^2+[\max(0,a_i^2-a_{\max}^2)]^2"/>
            <wp:cNvGraphicFramePr>
              <a:graphicFrameLocks noChangeAspect="1"/>
            </wp:cNvGraphicFramePr>
            <a:graphic>
              <a:graphicData uri="http://schemas.openxmlformats.org/drawingml/2006/picture">
                <pic:pic>
                  <pic:nvPicPr>
                    <pic:cNvPr id="0" name="eq_33.png"/>
                    <pic:cNvPicPr/>
                  </pic:nvPicPr>
                  <pic:blipFill>
                    <a:blip r:embed="rId46"/>
                    <a:stretch>
                      <a:fillRect/>
                    </a:stretch>
                  </pic:blipFill>
                  <pic:spPr>
                    <a:xfrm>
                      <a:off x="0" y="0"/>
                      <a:ext cx="5384800" cy="443653"/>
                    </a:xfrm>
                    <a:prstGeom prst="rect"/>
                  </pic:spPr>
                </pic:pic>
              </a:graphicData>
            </a:graphic>
          </wp:inline>
        </w:drawing>
      </w:r>
    </w:p>
    <w:p>
      <w:pPr>
        <w:pStyle w:val="Caption"/>
        <w:ind w:firstLine="0"/>
        <w:jc w:val="center"/>
      </w:pPr>
      <w:r>
        <w:t>式（33） 超限惩罚的结构示意；代码逐轴计算并含时间间隔缩放。</w:t>
      </w:r>
    </w:p>
    <w:p>
      <w:r>
        <w:t>这些项是软惩罚，不意味着连续时间处处严格无碰撞或可执行。代码之后显式调用 checkFeasibility()，失败时至多 30 轮 reallocateTime()；时间整体放大 s 时，速度与加速度分别约按 1/s 和 1/s² 衰减，这是时间调整改善动力学可行性的原因。</w:t>
      </w:r>
    </w:p>
    <w:p>
      <w:pPr>
        <w:keepNext/>
        <w:spacing w:before="60" w:after="40"/>
        <w:ind w:firstLine="0"/>
        <w:jc w:val="center"/>
      </w:pPr>
      <w:r>
        <w:drawing>
          <wp:inline xmlns:a="http://schemas.openxmlformats.org/drawingml/2006/main" xmlns:pic="http://schemas.openxmlformats.org/drawingml/2006/picture">
            <wp:extent cx="4646506" cy="365760"/>
            <wp:docPr id="37" name="Picture 37" descr="Equation LaTeX: \tilde p(t)=p(t/s),\quad\dot{\tilde p}(t)=\frac{1}{s}\dot p(t/s),\quad\ddot{\tilde p}(t)=\frac{1}{s^2}\ddot p(t/s)"/>
            <wp:cNvGraphicFramePr>
              <a:graphicFrameLocks noChangeAspect="1"/>
            </wp:cNvGraphicFramePr>
            <a:graphic>
              <a:graphicData uri="http://schemas.openxmlformats.org/drawingml/2006/picture">
                <pic:pic>
                  <pic:nvPicPr>
                    <pic:cNvPr id="0" name="eq_34.png"/>
                    <pic:cNvPicPr/>
                  </pic:nvPicPr>
                  <pic:blipFill>
                    <a:blip r:embed="rId47"/>
                    <a:stretch>
                      <a:fillRect/>
                    </a:stretch>
                  </pic:blipFill>
                  <pic:spPr>
                    <a:xfrm>
                      <a:off x="0" y="0"/>
                      <a:ext cx="4646506" cy="365760"/>
                    </a:xfrm>
                    <a:prstGeom prst="rect"/>
                  </pic:spPr>
                </pic:pic>
              </a:graphicData>
            </a:graphic>
          </wp:inline>
        </w:drawing>
      </w:r>
    </w:p>
    <w:p>
      <w:pPr>
        <w:pStyle w:val="Caption"/>
        <w:ind w:firstLine="0"/>
        <w:jc w:val="center"/>
      </w:pPr>
      <w:r>
        <w:t>式（34） 理想均匀时间缩放的导数关系。</w:t>
      </w:r>
    </w:p>
    <w:p>
      <w:r>
        <w:t>最终验收还要对真正准备发布的 B 样条进行有限值与碰撞采样复核；在 TCBS 开启时，验证优化后轨迹仍处于被提议拓扑，才提交当前拓扑。时间采样本身有分辨率限制，因此“通过离散复核”不等于连续时间形式化安全证明。</w:t>
      </w:r>
    </w:p>
    <w:p>
      <w:pPr>
        <w:pStyle w:val="Heading1"/>
      </w:pPr>
      <w:r>
        <w:t>9 状态机、运行复杂度与失效边界</w:t>
      </w:r>
    </w:p>
    <w:p>
      <w:r>
        <w:t>FSM 的主状态链是 INIT→WAIT_TARGET→GEN_NEW_TRAJ→EXEC_TRAJ；执行期间定期或因安全事件进入 REPLAN_TRAJ。二维模式重规划取实时里程计位置、速度、航向，并沿现有轨迹估计初始加速度。EXEC_TRAJ 中用于判断进度的 pos 是轨迹上的期望位置，不能代替真实车位；应同时看里程计与控制器跟踪误差。</w:t>
      </w:r>
    </w:p>
    <w:tbl>
      <w:tblPr>
        <w:tblStyle w:val="TableGrid"/>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417"/>
            <w:vAlign w:val="center"/>
            <w:shd w:fill="DBE7F0"/>
          </w:tcPr>
          <w:p>
            <w:pPr>
              <w:spacing w:after="40"/>
              <w:ind w:firstLine="0"/>
            </w:pPr>
            <w:r>
              <w:rPr>
                <w:b/>
                <w:sz w:val="18"/>
              </w:rPr>
              <w:t>层次</w:t>
            </w:r>
          </w:p>
        </w:tc>
        <w:tc>
          <w:tcPr>
            <w:tcW w:type="dxa" w:w="2494"/>
            <w:vAlign w:val="center"/>
            <w:shd w:fill="DBE7F0"/>
          </w:tcPr>
          <w:p>
            <w:pPr>
              <w:spacing w:after="40"/>
              <w:ind w:firstLine="0"/>
            </w:pPr>
            <w:r>
              <w:rPr>
                <w:b/>
                <w:sz w:val="18"/>
              </w:rPr>
              <w:t>主要复杂度或代价</w:t>
            </w:r>
          </w:p>
        </w:tc>
        <w:tc>
          <w:tcPr>
            <w:tcW w:type="dxa" w:w="2324"/>
            <w:vAlign w:val="center"/>
            <w:shd w:fill="DBE7F0"/>
          </w:tcPr>
          <w:p>
            <w:pPr>
              <w:spacing w:after="40"/>
              <w:ind w:firstLine="0"/>
            </w:pPr>
            <w:r>
              <w:rPr>
                <w:b/>
                <w:sz w:val="18"/>
              </w:rPr>
              <w:t>主要失效原因</w:t>
            </w:r>
          </w:p>
        </w:tc>
        <w:tc>
          <w:tcPr>
            <w:tcW w:type="dxa" w:w="2835"/>
            <w:vAlign w:val="center"/>
            <w:shd w:fill="DBE7F0"/>
          </w:tcPr>
          <w:p>
            <w:pPr>
              <w:spacing w:after="40"/>
              <w:ind w:firstLine="0"/>
            </w:pPr>
            <w:r>
              <w:rPr>
                <w:b/>
                <w:sz w:val="18"/>
              </w:rPr>
              <w:t>关键日志/证据</w:t>
            </w:r>
          </w:p>
        </w:tc>
      </w:tr>
      <w:tr>
        <w:trPr>
          <w:cantSplit/>
        </w:trPr>
        <w:tc>
          <w:tcPr>
            <w:tcW w:type="dxa" w:w="1417"/>
            <w:vAlign w:val="center"/>
          </w:tcPr>
          <w:p>
            <w:pPr>
              <w:spacing w:after="40"/>
              <w:ind w:firstLine="0"/>
            </w:pPr>
            <w:r>
              <w:rPr>
                <w:sz w:val="18"/>
              </w:rPr>
              <w:t>地图更新</w:t>
            </w:r>
          </w:p>
        </w:tc>
        <w:tc>
          <w:tcPr>
            <w:tcW w:type="dxa" w:w="2494"/>
          </w:tcPr>
          <w:p>
            <w:pPr>
              <w:spacing w:after="40"/>
              <w:ind w:firstLine="0"/>
            </w:pP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vAlign w:val="center"/>
          </w:tcPr>
          <w:p>
            <w:pPr>
              <w:spacing w:after="40"/>
              <w:ind w:firstLine="0"/>
            </w:pPr>
            <w:r>
              <w:rPr>
                <w:sz w:val="18"/>
              </w:rPr>
              <w:t>与局部更新栅格/射线数量相关</w:t>
            </w: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vAlign w:val="center"/>
          </w:tcPr>
          <w:p>
            <w:pPr>
              <w:spacing w:after="40"/>
              <w:ind w:firstLine="0"/>
            </w:pPr>
            <w:r>
              <w:rPr>
                <w:sz w:val="18"/>
              </w:rPr>
              <w:t>点云无效、坐标不一致</w:t>
            </w: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tcPr>
          <w:p>
            <w:pPr>
              <w:spacing w:after="40"/>
              <w:ind w:firstLine="0"/>
            </w:pPr>
          </w:p>
        </w:tc>
        <w:tc>
          <w:tcPr>
            <w:tcW w:type="dxa" w:w="2835"/>
            <w:vAlign w:val="center"/>
          </w:tcPr>
          <w:p>
            <w:pPr>
              <w:spacing w:after="40"/>
              <w:ind w:firstLine="0"/>
            </w:pPr>
            <w:r>
              <w:rPr>
                <w:sz w:val="18"/>
              </w:rPr>
              <w:t>占据图、ESDF、风险图是否更新</w:t>
            </w:r>
          </w:p>
        </w:tc>
      </w:tr>
      <w:tr>
        <w:trPr>
          <w:cantSplit/>
        </w:trPr>
        <w:tc>
          <w:tcPr>
            <w:tcW w:type="dxa" w:w="1417"/>
            <w:vAlign w:val="center"/>
          </w:tcPr>
          <w:p>
            <w:pPr>
              <w:spacing w:after="40"/>
              <w:ind w:firstLine="0"/>
            </w:pPr>
            <w:r>
              <w:rPr>
                <w:sz w:val="18"/>
              </w:rPr>
              <w:t>拓扑候选</w:t>
            </w:r>
          </w:p>
        </w:tc>
        <w:tc>
          <w:tcPr>
            <w:tcW w:type="dxa" w:w="2494"/>
          </w:tcPr>
          <w:p>
            <w:pPr>
              <w:spacing w:after="40"/>
              <w:ind w:firstLine="0"/>
            </w:pP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vAlign w:val="center"/>
          </w:tcPr>
          <w:p>
            <w:pPr>
              <w:spacing w:after="40"/>
              <w:ind w:firstLine="0"/>
            </w:pPr>
            <w:r>
              <w:rPr>
                <w:sz w:val="18"/>
              </w:rPr>
              <w:t>图搜索与等价路径检查</w:t>
            </w: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vAlign w:val="center"/>
          </w:tcPr>
          <w:p>
            <w:pPr>
              <w:spacing w:after="40"/>
              <w:ind w:firstLine="0"/>
            </w:pPr>
            <w:r>
              <w:rPr>
                <w:sz w:val="18"/>
              </w:rPr>
              <w:t>通道缺失、去重误判</w:t>
            </w: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tcPr>
          <w:p>
            <w:pPr>
              <w:spacing w:after="40"/>
              <w:ind w:firstLine="0"/>
            </w:pPr>
          </w:p>
        </w:tc>
        <w:tc>
          <w:tcPr>
            <w:tcW w:type="dxa" w:w="2835"/>
            <w:vAlign w:val="center"/>
          </w:tcPr>
          <w:p>
            <w:pPr>
              <w:spacing w:after="40"/>
              <w:ind w:firstLine="0"/>
            </w:pPr>
            <w:r>
              <w:rPr>
                <w:sz w:val="18"/>
              </w:rPr>
              <w:t>path_size_by_voro、no_candidates</w:t>
            </w:r>
          </w:p>
        </w:tc>
      </w:tr>
      <w:tr>
        <w:trPr>
          <w:cantSplit/>
        </w:trPr>
        <w:tc>
          <w:tcPr>
            <w:tcW w:type="dxa" w:w="1417"/>
            <w:vAlign w:val="center"/>
          </w:tcPr>
          <w:p>
            <w:pPr>
              <w:spacing w:after="40"/>
              <w:ind w:firstLine="0"/>
            </w:pPr>
            <w:r>
              <w:rPr>
                <w:sz w:val="18"/>
              </w:rPr>
              <w:t>粗细风险评价</w:t>
            </w:r>
          </w:p>
        </w:tc>
        <w:tc>
          <w:tcPr>
            <w:tcW w:type="dxa" w:w="2494"/>
          </w:tcPr>
          <w:p>
            <w:pPr>
              <w:spacing w:after="40"/>
              <w:ind w:firstLine="0"/>
            </w:pP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vAlign w:val="center"/>
          </w:tcPr>
          <w:p>
            <w:pPr>
              <w:spacing w:after="40"/>
              <w:ind w:firstLine="0"/>
            </w:pPr>
            <w:r>
              <w:rPr>
                <w:sz w:val="18"/>
              </w:rPr>
              <w:t>约 O(ML/hc+KL/hf)，细评含排序</w:t>
            </w: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vAlign w:val="center"/>
          </w:tcPr>
          <w:p>
            <w:pPr>
              <w:spacing w:after="40"/>
              <w:ind w:firstLine="0"/>
            </w:pPr>
            <w:r>
              <w:rPr>
                <w:sz w:val="18"/>
              </w:rPr>
              <w:t>粗采样漏优、阈值过低</w:t>
            </w: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tcPr>
          <w:p>
            <w:pPr>
              <w:spacing w:after="40"/>
              <w:ind w:firstLine="0"/>
            </w:pPr>
          </w:p>
        </w:tc>
        <w:tc>
          <w:tcPr>
            <w:tcW w:type="dxa" w:w="2835"/>
            <w:vAlign w:val="center"/>
          </w:tcPr>
          <w:p>
            <w:pPr>
              <w:spacing w:after="40"/>
              <w:ind w:firstLine="0"/>
            </w:pPr>
            <w:r>
              <w:rPr>
                <w:sz w:val="18"/>
              </w:rPr>
              <w:t>coarse/fine/feasible_count、耗时</w:t>
            </w:r>
          </w:p>
        </w:tc>
      </w:tr>
      <w:tr>
        <w:trPr>
          <w:cantSplit/>
        </w:trPr>
        <w:tc>
          <w:tcPr>
            <w:tcW w:type="dxa" w:w="1417"/>
            <w:vAlign w:val="center"/>
          </w:tcPr>
          <w:p>
            <w:pPr>
              <w:spacing w:after="40"/>
              <w:ind w:firstLine="0"/>
            </w:pPr>
            <w:r>
              <w:rPr>
                <w:sz w:val="18"/>
              </w:rPr>
              <w:t>混合 A*</w:t>
            </w:r>
          </w:p>
        </w:tc>
        <w:tc>
          <w:tcPr>
            <w:tcW w:type="dxa" w:w="2494"/>
          </w:tcPr>
          <w:p>
            <w:pPr>
              <w:spacing w:after="40"/>
              <w:ind w:firstLine="0"/>
            </w:pP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vAlign w:val="center"/>
          </w:tcPr>
          <w:p>
            <w:pPr>
              <w:spacing w:after="40"/>
              <w:ind w:firstLine="0"/>
            </w:pPr>
            <w:r>
              <w:rPr>
                <w:sz w:val="18"/>
              </w:rPr>
              <w:t>与离散状态、原语分支和节点预算相关</w:t>
            </w: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vAlign w:val="center"/>
          </w:tcPr>
          <w:p>
            <w:pPr>
              <w:spacing w:after="40"/>
              <w:ind w:firstLine="0"/>
            </w:pPr>
            <w:r>
              <w:rPr>
                <w:sz w:val="18"/>
              </w:rPr>
              <w:t>净空不足、转弯受限</w:t>
            </w: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tcPr>
          <w:p>
            <w:pPr>
              <w:spacing w:after="40"/>
              <w:ind w:firstLine="0"/>
            </w:pPr>
          </w:p>
        </w:tc>
        <w:tc>
          <w:tcPr>
            <w:tcW w:type="dxa" w:w="2835"/>
            <w:vAlign w:val="center"/>
          </w:tcPr>
          <w:p>
            <w:pPr>
              <w:spacing w:after="40"/>
              <w:ind w:firstLine="0"/>
            </w:pPr>
            <w:r>
              <w:rPr>
                <w:sz w:val="18"/>
              </w:rPr>
              <w:t>NO_PATH、节点数、起终点</w:t>
            </w:r>
          </w:p>
        </w:tc>
      </w:tr>
      <w:tr>
        <w:trPr>
          <w:cantSplit/>
        </w:trPr>
        <w:tc>
          <w:tcPr>
            <w:tcW w:type="dxa" w:w="1417"/>
            <w:vAlign w:val="center"/>
          </w:tcPr>
          <w:p>
            <w:pPr>
              <w:spacing w:after="40"/>
              <w:ind w:firstLine="0"/>
            </w:pPr>
            <w:r>
              <w:rPr>
                <w:sz w:val="18"/>
              </w:rPr>
              <w:t>B 样条</w:t>
            </w:r>
          </w:p>
        </w:tc>
        <w:tc>
          <w:tcPr>
            <w:tcW w:type="dxa" w:w="2494"/>
          </w:tcPr>
          <w:p>
            <w:pPr>
              <w:spacing w:after="40"/>
              <w:ind w:firstLine="0"/>
            </w:pP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vAlign w:val="center"/>
          </w:tcPr>
          <w:p>
            <w:pPr>
              <w:spacing w:after="40"/>
              <w:ind w:firstLine="0"/>
            </w:pPr>
            <w:r>
              <w:rPr>
                <w:sz w:val="18"/>
              </w:rPr>
              <w:t>控制点优化与轨迹复核</w:t>
            </w:r>
          </w:p>
        </w:tc>
        <w:tc>
          <w:tcPr>
            <w:tcW w:type="dxa" w:w="2324"/>
          </w:tcPr>
          <w:p>
            <w:pPr>
              <w:spacing w:after="40"/>
              <w:ind w:firstLine="0"/>
            </w:pP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vAlign w:val="center"/>
          </w:tcPr>
          <w:p>
            <w:pPr>
              <w:spacing w:after="40"/>
              <w:ind w:firstLine="0"/>
            </w:pPr>
            <w:r>
              <w:rPr>
                <w:sz w:val="18"/>
              </w:rPr>
              <w:t>动态不可行、最终碰撞</w:t>
            </w:r>
          </w:p>
        </w:tc>
        <w:tc>
          <w:tcPr>
            <w:tcW w:type="dxa" w:w="2835"/>
          </w:tcPr>
          <w:p>
            <w:pPr>
              <w:spacing w:after="40"/>
              <w:ind w:firstLine="0"/>
            </w:pPr>
          </w:p>
        </w:tc>
      </w:tr>
      <w:tr>
        <w:trPr>
          <w:cantSplit/>
        </w:trPr>
        <w:tc>
          <w:tcPr>
            <w:tcW w:type="dxa" w:w="1417"/>
          </w:tcPr>
          <w:p>
            <w:pPr>
              <w:spacing w:after="40"/>
              <w:ind w:firstLine="0"/>
            </w:pPr>
          </w:p>
        </w:tc>
        <w:tc>
          <w:tcPr>
            <w:tcW w:type="dxa" w:w="2494"/>
          </w:tcPr>
          <w:p>
            <w:pPr>
              <w:spacing w:after="40"/>
              <w:ind w:firstLine="0"/>
            </w:pPr>
          </w:p>
        </w:tc>
        <w:tc>
          <w:tcPr>
            <w:tcW w:type="dxa" w:w="2324"/>
          </w:tcPr>
          <w:p>
            <w:pPr>
              <w:spacing w:after="40"/>
              <w:ind w:firstLine="0"/>
            </w:pPr>
          </w:p>
        </w:tc>
        <w:tc>
          <w:tcPr>
            <w:tcW w:type="dxa" w:w="2835"/>
            <w:vAlign w:val="center"/>
          </w:tcPr>
          <w:p>
            <w:pPr>
              <w:spacing w:after="40"/>
              <w:ind w:firstLine="0"/>
            </w:pPr>
            <w:r>
              <w:rPr>
                <w:sz w:val="18"/>
              </w:rPr>
              <w:t>checkFeasibility、Reject final B-spline</w:t>
            </w:r>
          </w:p>
        </w:tc>
      </w:tr>
    </w:tbl>
    <w:p>
      <w:pPr>
        <w:spacing w:after="0"/>
      </w:pPr>
    </w:p>
    <w:p>
      <w:r>
        <w:t>当风险图尚未就绪时，RiskAwareEdge 会暂按零风险评价，这是保证旧流程可运行的回退行为，但在严格安全场景下应以地图就绪为规划前提。未知区有限风险、粗采样、AVC 软代价以及有限时间步长验收均是工程近似；需要通过地图质量、控制器性能和日志评估整体表现。</w:t>
      </w:r>
    </w:p>
    <w:p>
      <w:pPr>
        <w:pStyle w:val="Heading1"/>
      </w:pPr>
      <w:r>
        <w:t>10 可复核的算例与消融设计</w:t>
      </w:r>
    </w:p>
    <w:p>
      <w:pPr>
        <w:pStyle w:val="Heading2"/>
      </w:pPr>
      <w:r>
        <w:t>10.1 数值算例：尾部风险与候选选择</w:t>
      </w:r>
    </w:p>
    <w:p>
      <w:r>
        <w:t>考虑两条等长边，A 的 10 个采样点均为 1，B 的 9 个采样点为 0.5，另一个为 8。令 q=0.1、λ_CVaR=1。A 的均值、CVaR、组合风险均为 1、1、2；B 的均值为 1.25、CVaR 为 8、组合风险为 9.25。只用均值时二者差距 0.25，加入尾部风险后差距增至 7.25。若最大风险硬阈值为 7，则 B 直接不可行。这个算例可用于核验 sampleEdgeRisk() 的排序与阈值顺序。</w:t>
      </w:r>
    </w:p>
    <w:tbl>
      <w:tblPr>
        <w:tblStyle w:val="TableGrid"/>
        <w:tblW w:type="auto" w:w="0"/>
        <w:jc w:val="center"/>
        <w:tblLayout w:type="fixed"/>
        <w:tblLook w:firstColumn="1" w:firstRow="1" w:lastColumn="0" w:lastRow="0" w:noHBand="0" w:noVBand="1" w:val="04A0"/>
      </w:tblPr>
      <w:tblGrid>
        <w:gridCol w:w="1521"/>
        <w:gridCol w:w="1521"/>
        <w:gridCol w:w="1521"/>
        <w:gridCol w:w="1521"/>
        <w:gridCol w:w="1521"/>
        <w:gridCol w:w="1521"/>
      </w:tblGrid>
      <w:tr>
        <w:trPr>
          <w:tblHeader w:val="true"/>
          <w:cantSplit/>
        </w:trPr>
        <w:tc>
          <w:tcPr>
            <w:tcW w:type="dxa" w:w="1134"/>
            <w:vAlign w:val="center"/>
            <w:shd w:fill="DBE7F0"/>
          </w:tcPr>
          <w:p>
            <w:pPr>
              <w:spacing w:after="40"/>
              <w:ind w:firstLine="0"/>
            </w:pPr>
            <w:r>
              <w:rPr>
                <w:b/>
                <w:sz w:val="18"/>
              </w:rPr>
              <w:t>候选</w:t>
            </w:r>
          </w:p>
        </w:tc>
        <w:tc>
          <w:tcPr>
            <w:tcW w:type="dxa" w:w="3005"/>
            <w:vAlign w:val="center"/>
            <w:shd w:fill="DBE7F0"/>
          </w:tcPr>
          <w:p>
            <w:pPr>
              <w:spacing w:after="40"/>
              <w:ind w:firstLine="0"/>
            </w:pPr>
            <w:r>
              <w:rPr>
                <w:b/>
                <w:sz w:val="18"/>
              </w:rPr>
              <w:t>样本风险分布</w:t>
            </w:r>
          </w:p>
        </w:tc>
        <w:tc>
          <w:tcPr>
            <w:tcW w:type="dxa" w:w="1077"/>
            <w:vAlign w:val="center"/>
            <w:shd w:fill="DBE7F0"/>
          </w:tcPr>
          <w:p>
            <w:pPr>
              <w:spacing w:after="40"/>
              <w:ind w:firstLine="0"/>
            </w:pPr>
            <w:r>
              <w:rPr>
                <w:b/>
                <w:sz w:val="18"/>
              </w:rPr>
              <w:t>均值</w:t>
            </w:r>
          </w:p>
        </w:tc>
        <w:tc>
          <w:tcPr>
            <w:tcW w:type="dxa" w:w="1361"/>
            <w:vAlign w:val="center"/>
            <w:shd w:fill="DBE7F0"/>
          </w:tcPr>
          <w:p>
            <w:pPr>
              <w:spacing w:after="40"/>
              <w:ind w:firstLine="0"/>
            </w:pPr>
            <w:r>
              <w:rPr>
                <w:b/>
                <w:sz w:val="18"/>
              </w:rPr>
              <w:t>Top 10% CVaR</w:t>
            </w:r>
          </w:p>
        </w:tc>
        <w:tc>
          <w:tcPr>
            <w:tcW w:type="dxa" w:w="1247"/>
            <w:vAlign w:val="center"/>
            <w:shd w:fill="DBE7F0"/>
          </w:tcPr>
          <w:p>
            <w:pPr>
              <w:spacing w:after="40"/>
              <w:ind w:firstLine="0"/>
            </w:pPr>
            <w:r>
              <w:rPr>
                <w:b/>
                <w:sz w:val="18"/>
              </w:rPr>
              <w:t>组合风险</w:t>
            </w:r>
          </w:p>
        </w:tc>
        <w:tc>
          <w:tcPr>
            <w:tcW w:type="dxa" w:w="1247"/>
            <w:vAlign w:val="center"/>
            <w:shd w:fill="DBE7F0"/>
          </w:tcPr>
          <w:p>
            <w:pPr>
              <w:spacing w:after="40"/>
              <w:ind w:firstLine="0"/>
            </w:pPr>
            <w:r>
              <w:rPr>
                <w:b/>
                <w:sz w:val="18"/>
              </w:rPr>
              <w:t>阈值 7 下</w:t>
            </w:r>
          </w:p>
        </w:tc>
      </w:tr>
      <w:tr>
        <w:trPr>
          <w:cantSplit/>
        </w:trPr>
        <w:tc>
          <w:tcPr>
            <w:tcW w:type="dxa" w:w="1134"/>
            <w:vAlign w:val="center"/>
          </w:tcPr>
          <w:p>
            <w:pPr>
              <w:spacing w:after="40"/>
              <w:ind w:firstLine="0"/>
            </w:pPr>
            <w:r>
              <w:rPr>
                <w:sz w:val="18"/>
              </w:rPr>
              <w:t>A</w:t>
            </w:r>
          </w:p>
        </w:tc>
        <w:tc>
          <w:tcPr>
            <w:tcW w:type="dxa" w:w="3005"/>
          </w:tcPr>
          <w:p>
            <w:pPr>
              <w:spacing w:after="40"/>
              <w:ind w:firstLine="0"/>
            </w:pPr>
          </w:p>
        </w:tc>
        <w:tc>
          <w:tcPr>
            <w:tcW w:type="dxa" w:w="1077"/>
          </w:tcPr>
          <w:p>
            <w:pPr>
              <w:spacing w:after="40"/>
              <w:ind w:firstLine="0"/>
            </w:pPr>
          </w:p>
        </w:tc>
        <w:tc>
          <w:tcPr>
            <w:tcW w:type="dxa" w:w="1361"/>
          </w:tcPr>
          <w:p>
            <w:pPr>
              <w:spacing w:after="40"/>
              <w:ind w:firstLine="0"/>
            </w:pP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vAlign w:val="center"/>
          </w:tcPr>
          <w:p>
            <w:pPr>
              <w:spacing w:after="40"/>
              <w:ind w:firstLine="0"/>
            </w:pPr>
            <w:r>
              <w:rPr>
                <w:sz w:val="18"/>
              </w:rPr>
              <w:t>10 个样本均为 1</w:t>
            </w:r>
          </w:p>
        </w:tc>
        <w:tc>
          <w:tcPr>
            <w:tcW w:type="dxa" w:w="1077"/>
          </w:tcPr>
          <w:p>
            <w:pPr>
              <w:spacing w:after="40"/>
              <w:ind w:firstLine="0"/>
            </w:pPr>
          </w:p>
        </w:tc>
        <w:tc>
          <w:tcPr>
            <w:tcW w:type="dxa" w:w="1361"/>
          </w:tcPr>
          <w:p>
            <w:pPr>
              <w:spacing w:after="40"/>
              <w:ind w:firstLine="0"/>
            </w:pP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vAlign w:val="center"/>
          </w:tcPr>
          <w:p>
            <w:pPr>
              <w:spacing w:after="40"/>
              <w:ind w:firstLine="0"/>
            </w:pPr>
            <w:r>
              <w:rPr>
                <w:sz w:val="18"/>
              </w:rPr>
              <w:t>1.00</w:t>
            </w:r>
          </w:p>
        </w:tc>
        <w:tc>
          <w:tcPr>
            <w:tcW w:type="dxa" w:w="1361"/>
          </w:tcPr>
          <w:p>
            <w:pPr>
              <w:spacing w:after="40"/>
              <w:ind w:firstLine="0"/>
            </w:pP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tcPr>
          <w:p>
            <w:pPr>
              <w:spacing w:after="40"/>
              <w:ind w:firstLine="0"/>
            </w:pPr>
          </w:p>
        </w:tc>
        <w:tc>
          <w:tcPr>
            <w:tcW w:type="dxa" w:w="1361"/>
            <w:vAlign w:val="center"/>
          </w:tcPr>
          <w:p>
            <w:pPr>
              <w:spacing w:after="40"/>
              <w:ind w:firstLine="0"/>
            </w:pPr>
            <w:r>
              <w:rPr>
                <w:sz w:val="18"/>
              </w:rPr>
              <w:t>1.00</w:t>
            </w: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tcPr>
          <w:p>
            <w:pPr>
              <w:spacing w:after="40"/>
              <w:ind w:firstLine="0"/>
            </w:pPr>
          </w:p>
        </w:tc>
        <w:tc>
          <w:tcPr>
            <w:tcW w:type="dxa" w:w="1361"/>
          </w:tcPr>
          <w:p>
            <w:pPr>
              <w:spacing w:after="40"/>
              <w:ind w:firstLine="0"/>
            </w:pPr>
          </w:p>
        </w:tc>
        <w:tc>
          <w:tcPr>
            <w:tcW w:type="dxa" w:w="1247"/>
            <w:vAlign w:val="center"/>
          </w:tcPr>
          <w:p>
            <w:pPr>
              <w:spacing w:after="40"/>
              <w:ind w:firstLine="0"/>
            </w:pPr>
            <w:r>
              <w:rPr>
                <w:sz w:val="18"/>
              </w:rPr>
              <w:t>2.00</w:t>
            </w: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tcPr>
          <w:p>
            <w:pPr>
              <w:spacing w:after="40"/>
              <w:ind w:firstLine="0"/>
            </w:pPr>
          </w:p>
        </w:tc>
        <w:tc>
          <w:tcPr>
            <w:tcW w:type="dxa" w:w="1361"/>
          </w:tcPr>
          <w:p>
            <w:pPr>
              <w:spacing w:after="40"/>
              <w:ind w:firstLine="0"/>
            </w:pPr>
          </w:p>
        </w:tc>
        <w:tc>
          <w:tcPr>
            <w:tcW w:type="dxa" w:w="1247"/>
          </w:tcPr>
          <w:p>
            <w:pPr>
              <w:spacing w:after="40"/>
              <w:ind w:firstLine="0"/>
            </w:pPr>
          </w:p>
        </w:tc>
        <w:tc>
          <w:tcPr>
            <w:tcW w:type="dxa" w:w="1247"/>
            <w:vAlign w:val="center"/>
          </w:tcPr>
          <w:p>
            <w:pPr>
              <w:spacing w:after="40"/>
              <w:ind w:firstLine="0"/>
            </w:pPr>
            <w:r>
              <w:rPr>
                <w:sz w:val="18"/>
              </w:rPr>
              <w:t>可行</w:t>
            </w:r>
          </w:p>
        </w:tc>
      </w:tr>
      <w:tr>
        <w:trPr>
          <w:cantSplit/>
        </w:trPr>
        <w:tc>
          <w:tcPr>
            <w:tcW w:type="dxa" w:w="1134"/>
            <w:vAlign w:val="center"/>
          </w:tcPr>
          <w:p>
            <w:pPr>
              <w:spacing w:after="40"/>
              <w:ind w:firstLine="0"/>
            </w:pPr>
            <w:r>
              <w:rPr>
                <w:sz w:val="18"/>
              </w:rPr>
              <w:t>B</w:t>
            </w:r>
          </w:p>
        </w:tc>
        <w:tc>
          <w:tcPr>
            <w:tcW w:type="dxa" w:w="3005"/>
          </w:tcPr>
          <w:p>
            <w:pPr>
              <w:spacing w:after="40"/>
              <w:ind w:firstLine="0"/>
            </w:pPr>
          </w:p>
        </w:tc>
        <w:tc>
          <w:tcPr>
            <w:tcW w:type="dxa" w:w="1077"/>
          </w:tcPr>
          <w:p>
            <w:pPr>
              <w:spacing w:after="40"/>
              <w:ind w:firstLine="0"/>
            </w:pPr>
          </w:p>
        </w:tc>
        <w:tc>
          <w:tcPr>
            <w:tcW w:type="dxa" w:w="1361"/>
          </w:tcPr>
          <w:p>
            <w:pPr>
              <w:spacing w:after="40"/>
              <w:ind w:firstLine="0"/>
            </w:pP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vAlign w:val="center"/>
          </w:tcPr>
          <w:p>
            <w:pPr>
              <w:spacing w:after="40"/>
              <w:ind w:firstLine="0"/>
            </w:pPr>
            <w:r>
              <w:rPr>
                <w:sz w:val="18"/>
              </w:rPr>
              <w:t>9 个 0.5，1 个 8</w:t>
            </w:r>
          </w:p>
        </w:tc>
        <w:tc>
          <w:tcPr>
            <w:tcW w:type="dxa" w:w="1077"/>
          </w:tcPr>
          <w:p>
            <w:pPr>
              <w:spacing w:after="40"/>
              <w:ind w:firstLine="0"/>
            </w:pPr>
          </w:p>
        </w:tc>
        <w:tc>
          <w:tcPr>
            <w:tcW w:type="dxa" w:w="1361"/>
          </w:tcPr>
          <w:p>
            <w:pPr>
              <w:spacing w:after="40"/>
              <w:ind w:firstLine="0"/>
            </w:pP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vAlign w:val="center"/>
          </w:tcPr>
          <w:p>
            <w:pPr>
              <w:spacing w:after="40"/>
              <w:ind w:firstLine="0"/>
            </w:pPr>
            <w:r>
              <w:rPr>
                <w:sz w:val="18"/>
              </w:rPr>
              <w:t>1.25</w:t>
            </w:r>
          </w:p>
        </w:tc>
        <w:tc>
          <w:tcPr>
            <w:tcW w:type="dxa" w:w="1361"/>
          </w:tcPr>
          <w:p>
            <w:pPr>
              <w:spacing w:after="40"/>
              <w:ind w:firstLine="0"/>
            </w:pP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tcPr>
          <w:p>
            <w:pPr>
              <w:spacing w:after="40"/>
              <w:ind w:firstLine="0"/>
            </w:pPr>
          </w:p>
        </w:tc>
        <w:tc>
          <w:tcPr>
            <w:tcW w:type="dxa" w:w="1361"/>
            <w:vAlign w:val="center"/>
          </w:tcPr>
          <w:p>
            <w:pPr>
              <w:spacing w:after="40"/>
              <w:ind w:firstLine="0"/>
            </w:pPr>
            <w:r>
              <w:rPr>
                <w:sz w:val="18"/>
              </w:rPr>
              <w:t>8.00</w:t>
            </w:r>
          </w:p>
        </w:tc>
        <w:tc>
          <w:tcPr>
            <w:tcW w:type="dxa" w:w="1247"/>
          </w:tcPr>
          <w:p>
            <w:pPr>
              <w:spacing w:after="40"/>
              <w:ind w:firstLine="0"/>
            </w:pP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tcPr>
          <w:p>
            <w:pPr>
              <w:spacing w:after="40"/>
              <w:ind w:firstLine="0"/>
            </w:pPr>
          </w:p>
        </w:tc>
        <w:tc>
          <w:tcPr>
            <w:tcW w:type="dxa" w:w="1361"/>
          </w:tcPr>
          <w:p>
            <w:pPr>
              <w:spacing w:after="40"/>
              <w:ind w:firstLine="0"/>
            </w:pPr>
          </w:p>
        </w:tc>
        <w:tc>
          <w:tcPr>
            <w:tcW w:type="dxa" w:w="1247"/>
            <w:vAlign w:val="center"/>
          </w:tcPr>
          <w:p>
            <w:pPr>
              <w:spacing w:after="40"/>
              <w:ind w:firstLine="0"/>
            </w:pPr>
            <w:r>
              <w:rPr>
                <w:sz w:val="18"/>
              </w:rPr>
              <w:t>9.25</w:t>
            </w:r>
          </w:p>
        </w:tc>
        <w:tc>
          <w:tcPr>
            <w:tcW w:type="dxa" w:w="1247"/>
          </w:tcPr>
          <w:p>
            <w:pPr>
              <w:spacing w:after="40"/>
              <w:ind w:firstLine="0"/>
            </w:pPr>
          </w:p>
        </w:tc>
      </w:tr>
      <w:tr>
        <w:trPr>
          <w:cantSplit/>
        </w:trPr>
        <w:tc>
          <w:tcPr>
            <w:tcW w:type="dxa" w:w="1134"/>
          </w:tcPr>
          <w:p>
            <w:pPr>
              <w:spacing w:after="40"/>
              <w:ind w:firstLine="0"/>
            </w:pPr>
          </w:p>
        </w:tc>
        <w:tc>
          <w:tcPr>
            <w:tcW w:type="dxa" w:w="3005"/>
          </w:tcPr>
          <w:p>
            <w:pPr>
              <w:spacing w:after="40"/>
              <w:ind w:firstLine="0"/>
            </w:pPr>
          </w:p>
        </w:tc>
        <w:tc>
          <w:tcPr>
            <w:tcW w:type="dxa" w:w="1077"/>
          </w:tcPr>
          <w:p>
            <w:pPr>
              <w:spacing w:after="40"/>
              <w:ind w:firstLine="0"/>
            </w:pPr>
          </w:p>
        </w:tc>
        <w:tc>
          <w:tcPr>
            <w:tcW w:type="dxa" w:w="1361"/>
          </w:tcPr>
          <w:p>
            <w:pPr>
              <w:spacing w:after="40"/>
              <w:ind w:firstLine="0"/>
            </w:pPr>
          </w:p>
        </w:tc>
        <w:tc>
          <w:tcPr>
            <w:tcW w:type="dxa" w:w="1247"/>
          </w:tcPr>
          <w:p>
            <w:pPr>
              <w:spacing w:after="40"/>
              <w:ind w:firstLine="0"/>
            </w:pPr>
          </w:p>
        </w:tc>
        <w:tc>
          <w:tcPr>
            <w:tcW w:type="dxa" w:w="1247"/>
            <w:vAlign w:val="center"/>
          </w:tcPr>
          <w:p>
            <w:pPr>
              <w:spacing w:after="40"/>
              <w:ind w:firstLine="0"/>
            </w:pPr>
            <w:r>
              <w:rPr>
                <w:sz w:val="18"/>
              </w:rPr>
              <w:t>不可行</w:t>
            </w:r>
          </w:p>
        </w:tc>
      </w:tr>
    </w:tbl>
    <w:p>
      <w:pPr>
        <w:spacing w:after="0"/>
      </w:pPr>
    </w:p>
    <w:p>
      <w:pPr>
        <w:pStyle w:val="Heading2"/>
      </w:pPr>
      <w:r>
        <w:t>10.2 建议的验证与消融实验</w:t>
      </w:r>
    </w:p>
    <w:p>
      <w:r>
        <w:t>论文式评价应包含实测数据，不能仅凭公式宣称性能提升。建议在同一地图与相同随机种子下依次比较：① 全量细评与两阶段评价的耗时、漏选率；② 仅均值与均值+CVaR 的高风险区域暴露；③ 无 AVC 与有 AVC 的急转弯比例；④ PRS 关闭/开启时的路径净空；⑤ TCBS 关闭/开启时的拓扑切换次数、路径失败率与执行成功率。每组至少记录地图更新频率、候选数量、最终轨迹拒绝次数、搜索节点数与控制跟踪误差。</w:t>
      </w:r>
    </w:p>
    <w:tbl>
      <w:tblPr>
        <w:tblStyle w:val="TableGrid"/>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1701"/>
            <w:vAlign w:val="center"/>
            <w:shd w:fill="DBE7F0"/>
          </w:tcPr>
          <w:p>
            <w:pPr>
              <w:spacing w:after="40"/>
              <w:ind w:firstLine="0"/>
            </w:pPr>
            <w:r>
              <w:rPr>
                <w:b/>
                <w:sz w:val="18"/>
              </w:rPr>
              <w:t>指标</w:t>
            </w:r>
          </w:p>
        </w:tc>
        <w:tc>
          <w:tcPr>
            <w:tcW w:type="dxa" w:w="4649"/>
            <w:vAlign w:val="center"/>
            <w:shd w:fill="DBE7F0"/>
          </w:tcPr>
          <w:p>
            <w:pPr>
              <w:spacing w:after="40"/>
              <w:ind w:firstLine="0"/>
            </w:pPr>
            <w:r>
              <w:rPr>
                <w:b/>
                <w:sz w:val="18"/>
              </w:rPr>
              <w:t>定义或统计方法</w:t>
            </w:r>
          </w:p>
        </w:tc>
        <w:tc>
          <w:tcPr>
            <w:tcW w:type="dxa" w:w="2721"/>
            <w:vAlign w:val="center"/>
            <w:shd w:fill="DBE7F0"/>
          </w:tcPr>
          <w:p>
            <w:pPr>
              <w:spacing w:after="40"/>
              <w:ind w:firstLine="0"/>
            </w:pPr>
            <w:r>
              <w:rPr>
                <w:b/>
                <w:sz w:val="18"/>
              </w:rPr>
              <w:t>为什么需要</w:t>
            </w:r>
          </w:p>
        </w:tc>
      </w:tr>
      <w:tr>
        <w:trPr>
          <w:cantSplit/>
        </w:trPr>
        <w:tc>
          <w:tcPr>
            <w:tcW w:type="dxa" w:w="1701"/>
            <w:vAlign w:val="center"/>
          </w:tcPr>
          <w:p>
            <w:pPr>
              <w:spacing w:after="40"/>
              <w:ind w:firstLine="0"/>
            </w:pPr>
            <w:r>
              <w:rPr>
                <w:sz w:val="18"/>
              </w:rPr>
              <w:t>规划成功率</w:t>
            </w:r>
          </w:p>
        </w:tc>
        <w:tc>
          <w:tcPr>
            <w:tcW w:type="dxa" w:w="4649"/>
          </w:tcPr>
          <w:p>
            <w:pPr>
              <w:spacing w:after="40"/>
              <w:ind w:firstLine="0"/>
            </w:pPr>
          </w:p>
        </w:tc>
        <w:tc>
          <w:tcPr>
            <w:tcW w:type="dxa" w:w="2721"/>
          </w:tcPr>
          <w:p>
            <w:pPr>
              <w:spacing w:after="40"/>
              <w:ind w:firstLine="0"/>
            </w:pPr>
          </w:p>
        </w:tc>
      </w:tr>
      <w:tr>
        <w:trPr>
          <w:cantSplit/>
        </w:trPr>
        <w:tc>
          <w:tcPr>
            <w:tcW w:type="dxa" w:w="1701"/>
          </w:tcPr>
          <w:p>
            <w:pPr>
              <w:spacing w:after="40"/>
              <w:ind w:firstLine="0"/>
            </w:pPr>
          </w:p>
        </w:tc>
        <w:tc>
          <w:tcPr>
            <w:tcW w:type="dxa" w:w="4649"/>
            <w:vAlign w:val="center"/>
          </w:tcPr>
          <w:p>
            <w:pPr>
              <w:spacing w:after="40"/>
              <w:ind w:firstLine="0"/>
            </w:pPr>
            <w:r>
              <w:rPr>
                <w:sz w:val="18"/>
              </w:rPr>
              <w:t>最终轨迹通过所有验证的回合数 / 总回合数</w:t>
            </w:r>
          </w:p>
        </w:tc>
        <w:tc>
          <w:tcPr>
            <w:tcW w:type="dxa" w:w="2721"/>
          </w:tcPr>
          <w:p>
            <w:pPr>
              <w:spacing w:after="40"/>
              <w:ind w:firstLine="0"/>
            </w:pPr>
          </w:p>
        </w:tc>
      </w:tr>
      <w:tr>
        <w:trPr>
          <w:cantSplit/>
        </w:trPr>
        <w:tc>
          <w:tcPr>
            <w:tcW w:type="dxa" w:w="1701"/>
          </w:tcPr>
          <w:p>
            <w:pPr>
              <w:spacing w:after="40"/>
              <w:ind w:firstLine="0"/>
            </w:pPr>
          </w:p>
        </w:tc>
        <w:tc>
          <w:tcPr>
            <w:tcW w:type="dxa" w:w="4649"/>
          </w:tcPr>
          <w:p>
            <w:pPr>
              <w:spacing w:after="40"/>
              <w:ind w:firstLine="0"/>
            </w:pPr>
          </w:p>
        </w:tc>
        <w:tc>
          <w:tcPr>
            <w:tcW w:type="dxa" w:w="2721"/>
            <w:vAlign w:val="center"/>
          </w:tcPr>
          <w:p>
            <w:pPr>
              <w:spacing w:after="40"/>
              <w:ind w:firstLine="0"/>
            </w:pPr>
            <w:r>
              <w:rPr>
                <w:sz w:val="18"/>
              </w:rPr>
              <w:t>比仅有候选路径更接近实际运行结果</w:t>
            </w:r>
          </w:p>
        </w:tc>
      </w:tr>
      <w:tr>
        <w:trPr>
          <w:cantSplit/>
        </w:trPr>
        <w:tc>
          <w:tcPr>
            <w:tcW w:type="dxa" w:w="1701"/>
            <w:vAlign w:val="center"/>
          </w:tcPr>
          <w:p>
            <w:pPr>
              <w:spacing w:after="40"/>
              <w:ind w:firstLine="0"/>
            </w:pPr>
            <w:r>
              <w:rPr>
                <w:sz w:val="18"/>
              </w:rPr>
              <w:t>风险暴露</w:t>
            </w:r>
          </w:p>
        </w:tc>
        <w:tc>
          <w:tcPr>
            <w:tcW w:type="dxa" w:w="4649"/>
          </w:tcPr>
          <w:p>
            <w:pPr>
              <w:spacing w:after="40"/>
              <w:ind w:firstLine="0"/>
            </w:pPr>
          </w:p>
        </w:tc>
        <w:tc>
          <w:tcPr>
            <w:tcW w:type="dxa" w:w="2721"/>
          </w:tcPr>
          <w:p>
            <w:pPr>
              <w:spacing w:after="40"/>
              <w:ind w:firstLine="0"/>
            </w:pPr>
          </w:p>
        </w:tc>
      </w:tr>
      <w:tr>
        <w:trPr>
          <w:cantSplit/>
        </w:trPr>
        <w:tc>
          <w:tcPr>
            <w:tcW w:type="dxa" w:w="1701"/>
          </w:tcPr>
          <w:p>
            <w:pPr>
              <w:spacing w:after="40"/>
              <w:ind w:firstLine="0"/>
            </w:pPr>
          </w:p>
        </w:tc>
        <w:tc>
          <w:tcPr>
            <w:tcW w:type="dxa" w:w="4649"/>
            <w:vAlign w:val="center"/>
          </w:tcPr>
          <w:p>
            <w:pPr>
              <w:spacing w:after="40"/>
              <w:ind w:firstLine="0"/>
            </w:pPr>
            <w:r>
              <w:rPr>
                <w:sz w:val="18"/>
              </w:rPr>
              <w:t>执行轨迹上的平均/95 分位/最大原始风险</w:t>
            </w:r>
          </w:p>
        </w:tc>
        <w:tc>
          <w:tcPr>
            <w:tcW w:type="dxa" w:w="2721"/>
          </w:tcPr>
          <w:p>
            <w:pPr>
              <w:spacing w:after="40"/>
              <w:ind w:firstLine="0"/>
            </w:pPr>
          </w:p>
        </w:tc>
      </w:tr>
      <w:tr>
        <w:trPr>
          <w:cantSplit/>
        </w:trPr>
        <w:tc>
          <w:tcPr>
            <w:tcW w:type="dxa" w:w="1701"/>
          </w:tcPr>
          <w:p>
            <w:pPr>
              <w:spacing w:after="40"/>
              <w:ind w:firstLine="0"/>
            </w:pPr>
          </w:p>
        </w:tc>
        <w:tc>
          <w:tcPr>
            <w:tcW w:type="dxa" w:w="4649"/>
          </w:tcPr>
          <w:p>
            <w:pPr>
              <w:spacing w:after="40"/>
              <w:ind w:firstLine="0"/>
            </w:pPr>
          </w:p>
        </w:tc>
        <w:tc>
          <w:tcPr>
            <w:tcW w:type="dxa" w:w="2721"/>
            <w:vAlign w:val="center"/>
          </w:tcPr>
          <w:p>
            <w:pPr>
              <w:spacing w:after="40"/>
              <w:ind w:firstLine="0"/>
            </w:pPr>
            <w:r>
              <w:rPr>
                <w:sz w:val="18"/>
              </w:rPr>
              <w:t>区分总体风险和局部极值</w:t>
            </w:r>
          </w:p>
        </w:tc>
      </w:tr>
      <w:tr>
        <w:trPr>
          <w:cantSplit/>
        </w:trPr>
        <w:tc>
          <w:tcPr>
            <w:tcW w:type="dxa" w:w="1701"/>
            <w:vAlign w:val="center"/>
          </w:tcPr>
          <w:p>
            <w:pPr>
              <w:spacing w:after="40"/>
              <w:ind w:firstLine="0"/>
            </w:pPr>
            <w:r>
              <w:rPr>
                <w:sz w:val="18"/>
              </w:rPr>
              <w:t>切换频率</w:t>
            </w:r>
          </w:p>
        </w:tc>
        <w:tc>
          <w:tcPr>
            <w:tcW w:type="dxa" w:w="4649"/>
          </w:tcPr>
          <w:p>
            <w:pPr>
              <w:spacing w:after="40"/>
              <w:ind w:firstLine="0"/>
            </w:pPr>
          </w:p>
        </w:tc>
        <w:tc>
          <w:tcPr>
            <w:tcW w:type="dxa" w:w="2721"/>
          </w:tcPr>
          <w:p>
            <w:pPr>
              <w:spacing w:after="40"/>
              <w:ind w:firstLine="0"/>
            </w:pPr>
          </w:p>
        </w:tc>
      </w:tr>
      <w:tr>
        <w:trPr>
          <w:cantSplit/>
        </w:trPr>
        <w:tc>
          <w:tcPr>
            <w:tcW w:type="dxa" w:w="1701"/>
          </w:tcPr>
          <w:p>
            <w:pPr>
              <w:spacing w:after="40"/>
              <w:ind w:firstLine="0"/>
            </w:pPr>
          </w:p>
        </w:tc>
        <w:tc>
          <w:tcPr>
            <w:tcW w:type="dxa" w:w="4649"/>
            <w:vAlign w:val="center"/>
          </w:tcPr>
          <w:p>
            <w:pPr>
              <w:spacing w:after="40"/>
              <w:ind w:firstLine="0"/>
            </w:pPr>
            <w:r>
              <w:rPr>
                <w:sz w:val="18"/>
              </w:rPr>
              <w:t>每分钟已提交拓扑的改变次数</w:t>
            </w:r>
          </w:p>
        </w:tc>
        <w:tc>
          <w:tcPr>
            <w:tcW w:type="dxa" w:w="2721"/>
          </w:tcPr>
          <w:p>
            <w:pPr>
              <w:spacing w:after="40"/>
              <w:ind w:firstLine="0"/>
            </w:pPr>
          </w:p>
        </w:tc>
      </w:tr>
      <w:tr>
        <w:trPr>
          <w:cantSplit/>
        </w:trPr>
        <w:tc>
          <w:tcPr>
            <w:tcW w:type="dxa" w:w="1701"/>
          </w:tcPr>
          <w:p>
            <w:pPr>
              <w:spacing w:after="40"/>
              <w:ind w:firstLine="0"/>
            </w:pPr>
          </w:p>
        </w:tc>
        <w:tc>
          <w:tcPr>
            <w:tcW w:type="dxa" w:w="4649"/>
          </w:tcPr>
          <w:p>
            <w:pPr>
              <w:spacing w:after="40"/>
              <w:ind w:firstLine="0"/>
            </w:pPr>
          </w:p>
        </w:tc>
        <w:tc>
          <w:tcPr>
            <w:tcW w:type="dxa" w:w="2721"/>
            <w:vAlign w:val="center"/>
          </w:tcPr>
          <w:p>
            <w:pPr>
              <w:spacing w:after="40"/>
              <w:ind w:firstLine="0"/>
            </w:pPr>
            <w:r>
              <w:rPr>
                <w:sz w:val="18"/>
              </w:rPr>
              <w:t>识别拓扑抖动</w:t>
            </w:r>
          </w:p>
        </w:tc>
      </w:tr>
      <w:tr>
        <w:trPr>
          <w:cantSplit/>
        </w:trPr>
        <w:tc>
          <w:tcPr>
            <w:tcW w:type="dxa" w:w="1701"/>
            <w:vAlign w:val="center"/>
          </w:tcPr>
          <w:p>
            <w:pPr>
              <w:spacing w:after="40"/>
              <w:ind w:firstLine="0"/>
            </w:pPr>
            <w:r>
              <w:rPr>
                <w:sz w:val="18"/>
              </w:rPr>
              <w:t>细评时延</w:t>
            </w:r>
          </w:p>
        </w:tc>
        <w:tc>
          <w:tcPr>
            <w:tcW w:type="dxa" w:w="4649"/>
          </w:tcPr>
          <w:p>
            <w:pPr>
              <w:spacing w:after="40"/>
              <w:ind w:firstLine="0"/>
            </w:pPr>
          </w:p>
        </w:tc>
        <w:tc>
          <w:tcPr>
            <w:tcW w:type="dxa" w:w="2721"/>
          </w:tcPr>
          <w:p>
            <w:pPr>
              <w:spacing w:after="40"/>
              <w:ind w:firstLine="0"/>
            </w:pPr>
          </w:p>
        </w:tc>
      </w:tr>
      <w:tr>
        <w:trPr>
          <w:cantSplit/>
        </w:trPr>
        <w:tc>
          <w:tcPr>
            <w:tcW w:type="dxa" w:w="1701"/>
          </w:tcPr>
          <w:p>
            <w:pPr>
              <w:spacing w:after="40"/>
              <w:ind w:firstLine="0"/>
            </w:pPr>
          </w:p>
        </w:tc>
        <w:tc>
          <w:tcPr>
            <w:tcW w:type="dxa" w:w="4649"/>
            <w:vAlign w:val="center"/>
          </w:tcPr>
          <w:p>
            <w:pPr>
              <w:spacing w:after="40"/>
              <w:ind w:firstLine="0"/>
            </w:pPr>
            <w:r>
              <w:rPr>
                <w:sz w:val="18"/>
              </w:rPr>
              <w:t>RiskAwareEdge 的 fine_ms 分布</w:t>
            </w:r>
          </w:p>
        </w:tc>
        <w:tc>
          <w:tcPr>
            <w:tcW w:type="dxa" w:w="2721"/>
          </w:tcPr>
          <w:p>
            <w:pPr>
              <w:spacing w:after="40"/>
              <w:ind w:firstLine="0"/>
            </w:pPr>
          </w:p>
        </w:tc>
      </w:tr>
      <w:tr>
        <w:trPr>
          <w:cantSplit/>
        </w:trPr>
        <w:tc>
          <w:tcPr>
            <w:tcW w:type="dxa" w:w="1701"/>
          </w:tcPr>
          <w:p>
            <w:pPr>
              <w:spacing w:after="40"/>
              <w:ind w:firstLine="0"/>
            </w:pPr>
          </w:p>
        </w:tc>
        <w:tc>
          <w:tcPr>
            <w:tcW w:type="dxa" w:w="4649"/>
          </w:tcPr>
          <w:p>
            <w:pPr>
              <w:spacing w:after="40"/>
              <w:ind w:firstLine="0"/>
            </w:pPr>
          </w:p>
        </w:tc>
        <w:tc>
          <w:tcPr>
            <w:tcW w:type="dxa" w:w="2721"/>
            <w:vAlign w:val="center"/>
          </w:tcPr>
          <w:p>
            <w:pPr>
              <w:spacing w:after="40"/>
              <w:ind w:firstLine="0"/>
            </w:pPr>
            <w:r>
              <w:rPr>
                <w:sz w:val="18"/>
              </w:rPr>
              <w:t>判断实时性而非只看平均值</w:t>
            </w:r>
          </w:p>
        </w:tc>
      </w:tr>
      <w:tr>
        <w:trPr>
          <w:cantSplit/>
        </w:trPr>
        <w:tc>
          <w:tcPr>
            <w:tcW w:type="dxa" w:w="1701"/>
            <w:vAlign w:val="center"/>
          </w:tcPr>
          <w:p>
            <w:pPr>
              <w:spacing w:after="40"/>
              <w:ind w:firstLine="0"/>
            </w:pPr>
            <w:r>
              <w:rPr>
                <w:sz w:val="18"/>
              </w:rPr>
              <w:t>控制跟踪误差</w:t>
            </w:r>
          </w:p>
        </w:tc>
        <w:tc>
          <w:tcPr>
            <w:tcW w:type="dxa" w:w="4649"/>
          </w:tcPr>
          <w:p>
            <w:pPr>
              <w:spacing w:after="40"/>
              <w:ind w:firstLine="0"/>
            </w:pPr>
          </w:p>
        </w:tc>
        <w:tc>
          <w:tcPr>
            <w:tcW w:type="dxa" w:w="2721"/>
          </w:tcPr>
          <w:p>
            <w:pPr>
              <w:spacing w:after="40"/>
              <w:ind w:firstLine="0"/>
            </w:pPr>
          </w:p>
        </w:tc>
      </w:tr>
      <w:tr>
        <w:trPr>
          <w:cantSplit/>
        </w:trPr>
        <w:tc>
          <w:tcPr>
            <w:tcW w:type="dxa" w:w="1701"/>
          </w:tcPr>
          <w:p>
            <w:pPr>
              <w:spacing w:after="40"/>
              <w:ind w:firstLine="0"/>
            </w:pPr>
          </w:p>
        </w:tc>
        <w:tc>
          <w:tcPr>
            <w:tcW w:type="dxa" w:w="4649"/>
            <w:vAlign w:val="center"/>
          </w:tcPr>
          <w:p>
            <w:pPr>
              <w:spacing w:after="40"/>
              <w:ind w:firstLine="0"/>
            </w:pPr>
            <w:r>
              <w:rPr>
                <w:sz w:val="18"/>
              </w:rPr>
              <w:t>里程计与时间匹配目标轨迹的横向距离</w:t>
            </w:r>
          </w:p>
        </w:tc>
        <w:tc>
          <w:tcPr>
            <w:tcW w:type="dxa" w:w="2721"/>
          </w:tcPr>
          <w:p>
            <w:pPr>
              <w:spacing w:after="40"/>
              <w:ind w:firstLine="0"/>
            </w:pPr>
          </w:p>
        </w:tc>
      </w:tr>
      <w:tr>
        <w:trPr>
          <w:cantSplit/>
        </w:trPr>
        <w:tc>
          <w:tcPr>
            <w:tcW w:type="dxa" w:w="1701"/>
          </w:tcPr>
          <w:p>
            <w:pPr>
              <w:spacing w:after="40"/>
              <w:ind w:firstLine="0"/>
            </w:pPr>
          </w:p>
        </w:tc>
        <w:tc>
          <w:tcPr>
            <w:tcW w:type="dxa" w:w="4649"/>
          </w:tcPr>
          <w:p>
            <w:pPr>
              <w:spacing w:after="40"/>
              <w:ind w:firstLine="0"/>
            </w:pPr>
          </w:p>
        </w:tc>
        <w:tc>
          <w:tcPr>
            <w:tcW w:type="dxa" w:w="2721"/>
            <w:vAlign w:val="center"/>
          </w:tcPr>
          <w:p>
            <w:pPr>
              <w:spacing w:after="40"/>
              <w:ind w:firstLine="0"/>
            </w:pPr>
            <w:r>
              <w:rPr>
                <w:sz w:val="18"/>
              </w:rPr>
              <w:t>分离规划问题与控制问题</w:t>
            </w:r>
          </w:p>
        </w:tc>
      </w:tr>
    </w:tbl>
    <w:p>
      <w:pPr>
        <w:spacing w:after="0"/>
      </w:pPr>
    </w:p>
    <w:p>
      <w:pPr>
        <w:pStyle w:val="Heading1"/>
      </w:pPr>
      <w:r>
        <w:t>11 代码索引与新员工学习顺序</w:t>
      </w:r>
    </w:p>
    <w:tbl>
      <w:tblPr>
        <w:tblStyle w:val="TableGrid"/>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737"/>
            <w:vAlign w:val="center"/>
            <w:shd w:fill="DBE7F0"/>
          </w:tcPr>
          <w:p>
            <w:pPr>
              <w:spacing w:after="40"/>
              <w:ind w:firstLine="0"/>
            </w:pPr>
            <w:r>
              <w:rPr>
                <w:b/>
                <w:sz w:val="18"/>
              </w:rPr>
              <w:t>顺序</w:t>
            </w:r>
          </w:p>
        </w:tc>
        <w:tc>
          <w:tcPr>
            <w:tcW w:type="dxa" w:w="4762"/>
            <w:vAlign w:val="center"/>
            <w:shd w:fill="DBE7F0"/>
          </w:tcPr>
          <w:p>
            <w:pPr>
              <w:spacing w:after="40"/>
              <w:ind w:firstLine="0"/>
            </w:pPr>
            <w:r>
              <w:rPr>
                <w:b/>
                <w:sz w:val="18"/>
              </w:rPr>
              <w:t>核心源码/配置</w:t>
            </w:r>
          </w:p>
        </w:tc>
        <w:tc>
          <w:tcPr>
            <w:tcW w:type="dxa" w:w="3572"/>
            <w:vAlign w:val="center"/>
            <w:shd w:fill="DBE7F0"/>
          </w:tcPr>
          <w:p>
            <w:pPr>
              <w:spacing w:after="40"/>
              <w:ind w:firstLine="0"/>
            </w:pPr>
            <w:r>
              <w:rPr>
                <w:b/>
                <w:sz w:val="18"/>
              </w:rPr>
              <w:t>本阶段应回答的问题</w:t>
            </w:r>
          </w:p>
        </w:tc>
      </w:tr>
      <w:tr>
        <w:trPr>
          <w:cantSplit/>
        </w:trPr>
        <w:tc>
          <w:tcPr>
            <w:tcW w:type="dxa" w:w="737"/>
            <w:vAlign w:val="center"/>
          </w:tcPr>
          <w:p>
            <w:pPr>
              <w:spacing w:after="40"/>
              <w:ind w:firstLine="0"/>
            </w:pPr>
            <w:r>
              <w:rPr>
                <w:sz w:val="18"/>
              </w:rPr>
              <w:t>1</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plan_manage/launch/kino_replan.launch；kino_algorithm.xml</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实际启动了哪些节点、加载哪些参数？</w:t>
            </w:r>
          </w:p>
        </w:tc>
      </w:tr>
      <w:tr>
        <w:trPr>
          <w:cantSplit/>
        </w:trPr>
        <w:tc>
          <w:tcPr>
            <w:tcW w:type="dxa" w:w="737"/>
            <w:vAlign w:val="center"/>
          </w:tcPr>
          <w:p>
            <w:pPr>
              <w:spacing w:after="40"/>
              <w:ind w:firstLine="0"/>
            </w:pPr>
            <w:r>
              <w:rPr>
                <w:sz w:val="18"/>
              </w:rPr>
              <w:t>2</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plan_env/src/sdf_map.cpp；risk_map_manager.cpp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未知、空闲、占据与距离/风险如何产生？</w:t>
            </w:r>
          </w:p>
        </w:tc>
      </w:tr>
      <w:tr>
        <w:trPr>
          <w:cantSplit/>
        </w:trPr>
        <w:tc>
          <w:tcPr>
            <w:tcW w:type="dxa" w:w="737"/>
            <w:vAlign w:val="center"/>
          </w:tcPr>
          <w:p>
            <w:pPr>
              <w:spacing w:after="40"/>
              <w:ind w:firstLine="0"/>
            </w:pPr>
            <w:r>
              <w:rPr>
                <w:sz w:val="18"/>
              </w:rPr>
              <w:t>3</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path_searching/src/topo_prm.cpp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不同绕行路径如何保留、裁剪与提交？</w:t>
            </w:r>
          </w:p>
        </w:tc>
      </w:tr>
      <w:tr>
        <w:trPr>
          <w:cantSplit/>
        </w:trPr>
        <w:tc>
          <w:tcPr>
            <w:tcW w:type="dxa" w:w="737"/>
            <w:vAlign w:val="center"/>
          </w:tcPr>
          <w:p>
            <w:pPr>
              <w:spacing w:after="40"/>
              <w:ind w:firstLine="0"/>
            </w:pPr>
            <w:r>
              <w:rPr>
                <w:sz w:val="18"/>
              </w:rPr>
              <w:t>4</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path_searching/src/risk_aware_edge.cpp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粗细评价、CVaR、AVC、阈值如何协同？</w:t>
            </w:r>
          </w:p>
        </w:tc>
      </w:tr>
      <w:tr>
        <w:trPr>
          <w:cantSplit/>
        </w:trPr>
        <w:tc>
          <w:tcPr>
            <w:tcW w:type="dxa" w:w="737"/>
            <w:vAlign w:val="center"/>
          </w:tcPr>
          <w:p>
            <w:pPr>
              <w:spacing w:after="40"/>
              <w:ind w:firstLine="0"/>
            </w:pPr>
            <w:r>
              <w:rPr>
                <w:sz w:val="18"/>
              </w:rPr>
              <w:t>5</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risk_aware_path_selector.cpp；PathReliabilityEvaluator.cpp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最终效用与内部评价为何不同？</w:t>
            </w:r>
          </w:p>
        </w:tc>
      </w:tr>
      <w:tr>
        <w:trPr>
          <w:cantSplit/>
        </w:trPr>
        <w:tc>
          <w:tcPr>
            <w:tcW w:type="dxa" w:w="737"/>
            <w:vAlign w:val="center"/>
          </w:tcPr>
          <w:p>
            <w:pPr>
              <w:spacing w:after="40"/>
              <w:ind w:firstLine="0"/>
            </w:pPr>
            <w:r>
              <w:rPr>
                <w:sz w:val="18"/>
              </w:rPr>
              <w:t>6</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kinodynamic_astar_2D.cpp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状态、运动原语、启发函数与 Dubins shot 如何工作？</w:t>
            </w:r>
          </w:p>
        </w:tc>
      </w:tr>
      <w:tr>
        <w:trPr>
          <w:cantSplit/>
        </w:trPr>
        <w:tc>
          <w:tcPr>
            <w:tcW w:type="dxa" w:w="737"/>
            <w:vAlign w:val="center"/>
          </w:tcPr>
          <w:p>
            <w:pPr>
              <w:spacing w:after="40"/>
              <w:ind w:firstLine="0"/>
            </w:pPr>
            <w:r>
              <w:rPr>
                <w:sz w:val="18"/>
              </w:rPr>
              <w:t>7</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bspline_opt/src/bspline_optimizer.cpp；planner_manager.cpp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软优化后为什么还要时间调整和最终复核？</w:t>
            </w:r>
          </w:p>
        </w:tc>
      </w:tr>
      <w:tr>
        <w:trPr>
          <w:cantSplit/>
        </w:trPr>
        <w:tc>
          <w:tcPr>
            <w:tcW w:type="dxa" w:w="737"/>
            <w:vAlign w:val="center"/>
          </w:tcPr>
          <w:p>
            <w:pPr>
              <w:spacing w:after="40"/>
              <w:ind w:firstLine="0"/>
            </w:pPr>
            <w:r>
              <w:rPr>
                <w:sz w:val="18"/>
              </w:rPr>
              <w:t>8</w:t>
            </w:r>
          </w:p>
        </w:tc>
        <w:tc>
          <w:tcPr>
            <w:tcW w:type="dxa" w:w="4762"/>
          </w:tcPr>
          <w:p>
            <w:pPr>
              <w:spacing w:after="40"/>
              <w:ind w:firstLine="0"/>
            </w:pPr>
          </w:p>
        </w:tc>
        <w:tc>
          <w:tcPr>
            <w:tcW w:type="dxa" w:w="3572"/>
          </w:tcPr>
          <w:p>
            <w:pPr>
              <w:spacing w:after="40"/>
              <w:ind w:firstLine="0"/>
            </w:pPr>
          </w:p>
        </w:tc>
      </w:tr>
      <w:tr>
        <w:trPr>
          <w:cantSplit/>
        </w:trPr>
        <w:tc>
          <w:tcPr>
            <w:tcW w:type="dxa" w:w="737"/>
          </w:tcPr>
          <w:p>
            <w:pPr>
              <w:spacing w:after="40"/>
              <w:ind w:firstLine="0"/>
            </w:pPr>
          </w:p>
        </w:tc>
        <w:tc>
          <w:tcPr>
            <w:tcW w:type="dxa" w:w="4762"/>
            <w:vAlign w:val="center"/>
          </w:tcPr>
          <w:p>
            <w:pPr>
              <w:spacing w:after="40"/>
              <w:ind w:firstLine="0"/>
            </w:pPr>
            <w:r>
              <w:rPr>
                <w:sz w:val="18"/>
              </w:rPr>
              <w:t>plan_manage/src/kino_replan_fsm.cpp</w:t>
            </w:r>
          </w:p>
        </w:tc>
        <w:tc>
          <w:tcPr>
            <w:tcW w:type="dxa" w:w="3572"/>
          </w:tcPr>
          <w:p>
            <w:pPr>
              <w:spacing w:after="40"/>
              <w:ind w:firstLine="0"/>
            </w:pPr>
          </w:p>
        </w:tc>
      </w:tr>
      <w:tr>
        <w:trPr>
          <w:cantSplit/>
        </w:trPr>
        <w:tc>
          <w:tcPr>
            <w:tcW w:type="dxa" w:w="737"/>
          </w:tcPr>
          <w:p>
            <w:pPr>
              <w:spacing w:after="40"/>
              <w:ind w:firstLine="0"/>
            </w:pPr>
          </w:p>
        </w:tc>
        <w:tc>
          <w:tcPr>
            <w:tcW w:type="dxa" w:w="4762"/>
          </w:tcPr>
          <w:p>
            <w:pPr>
              <w:spacing w:after="40"/>
              <w:ind w:firstLine="0"/>
            </w:pPr>
          </w:p>
        </w:tc>
        <w:tc>
          <w:tcPr>
            <w:tcW w:type="dxa" w:w="3572"/>
            <w:vAlign w:val="center"/>
          </w:tcPr>
          <w:p>
            <w:pPr>
              <w:spacing w:after="40"/>
              <w:ind w:firstLine="0"/>
            </w:pPr>
            <w:r>
              <w:rPr>
                <w:sz w:val="18"/>
              </w:rPr>
              <w:t>重规划失败时系统如何恢复？</w:t>
            </w:r>
          </w:p>
        </w:tc>
      </w:tr>
    </w:tbl>
    <w:p>
      <w:pPr>
        <w:spacing w:after="0"/>
      </w:pPr>
    </w:p>
    <w:p>
      <w:r>
        <w:t>推荐动手顺序：先在小型栅格地图中手算 log odds、风险与 CVaR；再画两条绕障路径并手算归一化评分；随后用自行车模型推进一个运动原语；最后在仿真中核对每层日志。把每一层的输入、输出和“不保证什么”写成自己的检查表，比只记参数含义更能帮助定位问题。</w:t>
      </w:r>
    </w:p>
    <w:p>
      <w:pPr>
        <w:pStyle w:val="Heading1"/>
      </w:pPr>
      <w:r>
        <w:t>12 结论</w:t>
      </w:r>
    </w:p>
    <w:p>
      <w:r>
        <w:t>TGH Planner 的核心思想是分层处理难以一次求解的未知环境路径规划问题：概率地图和距离场描述观测，拓扑候选扩展绕行选择，风险均值、CVaR 与最大风险阈值分别衡量整体暴露、局部高峰和不可行区域，AVC 提供快速转弯难度提示，混合 A* 检查车辆运动学，B 样条优化并验证执行轨迹。各层都有明确的数学意义，也各有近似误差。尤其需要把“候选内部 J_edge”“最终路径效用 U”“可选 TCBS 切换门限”区分开；对尚未接入主流程的接口不能当作现有效果。新员工可据此从公式、代码和运行证据三个角度同时理解系统。</w:t>
      </w:r>
    </w:p>
    <w:p>
      <w:pPr>
        <w:pStyle w:val="Heading1"/>
      </w:pPr>
      <w:r>
        <w:t>附录 A 代码依据与阅读定位</w:t>
      </w:r>
    </w:p>
    <w:p>
      <w:pPr>
        <w:ind w:firstLine="0"/>
      </w:pPr>
      <w:r>
        <w:t>[A1] plan_env/src/sdf_map.cpp：log odds、障碍膨胀、二维 ESDF 更新。</w:t>
      </w:r>
    </w:p>
    <w:p>
      <w:pPr>
        <w:ind w:firstLine="0"/>
      </w:pPr>
      <w:r>
        <w:t>[A2] plan_env/src/risk_map_manager.cpp：已知/未知格风险、走廊宽度、可视化压缩。</w:t>
      </w:r>
    </w:p>
    <w:p>
      <w:pPr>
        <w:ind w:firstLine="0"/>
      </w:pPr>
      <w:r>
        <w:t>[A3] path_searching/src/topo_prm.cpp：findVoroPaths、sameTopoPath、findGuidePath、tryCommitGuidePath。</w:t>
      </w:r>
    </w:p>
    <w:p>
      <w:pPr>
        <w:ind w:firstLine="0"/>
      </w:pPr>
      <w:r>
        <w:t>[A4] path_searching/src/risk_aware_edge.cpp：evaluateCandidatePaths、sampleEdgeRisk、normalizeCandidateCosts、computeAVCCost。</w:t>
      </w:r>
    </w:p>
    <w:p>
      <w:pPr>
        <w:ind w:firstLine="0"/>
      </w:pPr>
      <w:r>
        <w:t>[A5] path_searching/src/risk_aware_path_selector.cpp：selectBestPath、selectStablePath、evaluateTCBSScore。</w:t>
      </w:r>
    </w:p>
    <w:p>
      <w:pPr>
        <w:ind w:firstLine="0"/>
      </w:pPr>
      <w:r>
        <w:t>[A6] path_searching/src/path_reliability/PathReliabilityEvaluator.cpp：PRS 等弧长采样与评分。</w:t>
      </w:r>
    </w:p>
    <w:p>
      <w:pPr>
        <w:ind w:firstLine="0"/>
      </w:pPr>
      <w:r>
        <w:t>[A7] path_searching/src/kinodynamic_astar_2D.cpp：stateTransit、estimateG、estimateHeuristic、computeShotTraj。</w:t>
      </w:r>
    </w:p>
    <w:p>
      <w:pPr>
        <w:ind w:firstLine="0"/>
      </w:pPr>
      <w:r>
        <w:t>[A8] bspline_opt/src/bspline_optimizer.cpp；bspline/src/non_uniform_bspline.cpp：轨迹表示与代价。</w:t>
      </w:r>
    </w:p>
    <w:p>
      <w:pPr>
        <w:ind w:firstLine="0"/>
      </w:pPr>
      <w:r>
        <w:t>[A9] plan_manage/src/planner_manager.cpp；plan_manage/src/kino_replan_fsm.cpp：主规划链和闭环重规划。</w:t>
      </w:r>
    </w:p>
    <w:p>
      <w:pPr>
        <w:ind w:firstLine="0"/>
      </w:pPr>
      <w:r>
        <w:t>[A10] plan_env/config/risk_map.yaml；plan_manage/launch/kino_algorithm.xml：当前配置值。</w:t>
      </w:r>
    </w:p>
    <w:sectPr w:rsidR="00FC693F" w:rsidRPr="0006063C" w:rsidSect="00034616">
      <w:headerReference w:type="default" r:id="rId9"/>
      <w:footerReference w:type="default" r:id="rId10"/>
      <w:pgSz w:w="11906" w:h="16838"/>
      <w:pgMar w:top="1332" w:right="1332" w:bottom="1219" w:left="144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TGH Planner 路径规划数学原理与实现分析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25"/>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B3D5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1B3D5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1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Noto Sans CJK SC" w:hAnsi="Noto Sans CJK SC" w:eastAsia="Noto Sans CJK SC"/>
      <w:b/>
      <w:color w:val="1B3D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Noto Serif CJK SC" w:hAnsi="Noto Serif CJK SC" w:eastAsia="Noto Serif CJK SC"/>
      <w:b/>
      <w:bCs/>
      <w:color w:val="4B4B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spacing w:after="0" w:line="276" w:lineRule="auto"/>
    </w:pPr>
    <w:rPr>
      <w:rFonts w:ascii="Noto Sans Mono CJK SC" w:hAnsi="Noto Sans Mono CJK SC"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TGH Planner 路径规划系统的数学原理、算法设计与工程实现</dc:title>
  <dc:subject>代码驱动的论文式技术文档与新员工学习材料</dc:subject>
  <dc:creator>python-docx</dc:creator>
  <cp:keywords>TGH Planner, 路径规划, CVaR, AVC, 混合A星, B样条</cp:keywords>
  <dc:description>generated by python-docx</dc:description>
  <cp:lastModifiedBy/>
  <cp:revision>1</cp:revision>
  <dcterms:created xsi:type="dcterms:W3CDTF">2013-12-23T23:15:00Z</dcterms:created>
  <dcterms:modified xsi:type="dcterms:W3CDTF">2013-12-23T23:15:00Z</dcterms:modified>
  <cp:category/>
</cp:coreProperties>
</file>