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723B5">
      <w:pPr>
        <w:keepNext/>
        <w:numPr>
          <w:ilvl w:val="-1"/>
          <w:numId w:val="0"/>
        </w:numPr>
        <w:spacing w:line="240" w:lineRule="auto" w:before="1300" w:after="0"/>
        <w:ind w:firstLine="0"/>
        <w:jc w:val="center"/>
        <w:rPr>
          <w:rFonts w:hint="eastAsia" w:ascii="华文宋体" w:hAnsi="华文宋体" w:eastAsia="华文宋体" w:cs="华文宋体"/>
          <w:b/>
          <w:bCs/>
          <w:color w:val="000000"/>
          <w:spacing w:val="13"/>
          <w:sz w:val="71"/>
          <w:szCs w:val="21"/>
          <w:lang w:val="en-US" w:eastAsia="zh-CN"/>
        </w:rPr>
      </w:pPr>
      <w:r>
        <w:rPr>
          <w:rFonts w:hint="eastAsia" w:ascii="Times New Roman" w:hAnsi="Times New Roman" w:eastAsia="宋体" w:cs="华文宋体"/>
          <w:b/>
          <w:bCs/>
          <w:color w:val="000000"/>
          <w:sz w:val="44"/>
          <w:szCs w:val="21"/>
          <w:lang w:val="en-US" w:eastAsia="zh-CN"/>
        </w:rPr>
        <w:t>2026-2027学年秋季学期</w:t>
      </w:r>
    </w:p>
    <w:p w14:paraId="7FFC73D5">
      <w:pPr>
        <w:keepNext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00" w:beforeLines="150" w:line="240" w:lineRule="auto" w:after="0"/>
        <w:ind w:left="425" w:firstLine="0"/>
        <w:jc w:val="center"/>
        <w:textAlignment w:val="auto"/>
        <w:rPr>
          <w:rFonts w:hint="eastAsia" w:ascii="华文宋体" w:hAnsi="华文宋体" w:eastAsia="华文宋体" w:cs="华文宋体"/>
          <w:b/>
          <w:bCs/>
          <w:color w:val="000000"/>
          <w:spacing w:val="13"/>
          <w:sz w:val="71"/>
          <w:szCs w:val="21"/>
          <w:lang w:eastAsia="zh-CN"/>
        </w:rPr>
      </w:pPr>
      <w:r>
        <w:rPr>
          <w:rFonts w:hint="eastAsia" w:ascii="Times New Roman" w:hAnsi="Times New Roman" w:eastAsia="宋体" w:cs="华文宋体"/>
          <w:b/>
          <w:bCs/>
          <w:color w:val="000000"/>
          <w:sz w:val="44"/>
          <w:szCs w:val="21"/>
          <w:lang w:eastAsia="zh-CN"/>
        </w:rPr>
        <w:t>《</w:t>
      </w:r>
      <w:r>
        <w:rPr>
          <w:rFonts w:hint="eastAsia" w:ascii="Times New Roman" w:hAnsi="Times New Roman" w:eastAsia="宋体" w:cs="华文宋体"/>
          <w:b/>
          <w:bCs/>
          <w:color w:val="000000"/>
          <w:sz w:val="44"/>
          <w:szCs w:val="21"/>
          <w:lang w:val="en-US" w:eastAsia="zh-CN"/>
        </w:rPr>
        <w:t>现代信息化感知</w:t>
      </w:r>
      <w:r>
        <w:rPr>
          <w:rFonts w:hint="eastAsia" w:ascii="Times New Roman" w:hAnsi="Times New Roman" w:eastAsia="宋体" w:cs="华文宋体"/>
          <w:b/>
          <w:bCs/>
          <w:color w:val="000000"/>
          <w:sz w:val="44"/>
          <w:szCs w:val="21"/>
          <w:lang w:eastAsia="zh-CN"/>
        </w:rPr>
        <w:t>》</w:t>
      </w:r>
    </w:p>
    <w:p w14:paraId="6DE48DAB">
      <w:pPr>
        <w:keepNext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beforeLines="150" w:line="240" w:lineRule="auto" w:after="480"/>
        <w:ind w:left="425" w:firstLine="0"/>
        <w:jc w:val="center"/>
        <w:textAlignment w:val="auto"/>
        <w:rPr>
          <w:rFonts w:hint="eastAsia" w:ascii="华文宋体" w:hAnsi="华文宋体" w:eastAsia="华文宋体" w:cs="华文宋体"/>
          <w:b/>
          <w:bCs/>
          <w:color w:val="000000"/>
          <w:spacing w:val="13"/>
          <w:sz w:val="71"/>
          <w:szCs w:val="21"/>
        </w:rPr>
      </w:pPr>
      <w:r>
        <w:rPr>
          <w:rFonts w:hint="eastAsia" w:ascii="Times New Roman" w:hAnsi="Times New Roman" w:eastAsia="宋体" w:cs="华文宋体"/>
          <w:b/>
          <w:bCs/>
          <w:color w:val="000000"/>
          <w:sz w:val="56"/>
          <w:szCs w:val="21"/>
          <w:lang w:val="en-US" w:eastAsia="zh-CN"/>
        </w:rPr>
        <w:t>结课</w:t>
      </w:r>
      <w:r>
        <w:rPr>
          <w:rFonts w:hint="eastAsia" w:ascii="Times New Roman" w:hAnsi="Times New Roman" w:eastAsia="宋体" w:cs="华文宋体"/>
          <w:b/>
          <w:bCs/>
          <w:color w:val="000000"/>
          <w:sz w:val="56"/>
          <w:szCs w:val="21"/>
        </w:rPr>
        <w:t>作业</w:t>
      </w:r>
    </w:p>
    <w:p>
      <w:pPr>
        <w:spacing w:after="14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32"/>
        <w:tblW w:w="658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2544"/>
        <w:gridCol w:w="2862"/>
      </w:tblGrid>
      <w:tr w14:paraId="0EFB6D60">
        <w:trPr>
          <w:trHeight w:val="0" w:hRule="atLeast"/>
          <w:tblHeader/>
        </w:trPr>
        <w:tc>
          <w:tcPr>
            <w:tcW w:w="1174" w:type="dxa"/>
            <w:shd w:val="clear" w:color="auto" w:fill="auto"/>
            <w:vAlign w:val="center"/>
          </w:tcPr>
          <w:p w14:paraId="09BFFDD9">
            <w:pPr>
              <w:numPr>
                <w:ilvl w:val="-1"/>
                <w:numId w:val="0"/>
              </w:numPr>
              <w:snapToGrid w:val="0"/>
              <w:spacing w:before="120" w:after="156" w:afterLines="50" w:line="240" w:lineRule="auto"/>
              <w:ind w:left="0" w:leftChars="0" w:right="0" w:rightChars="0" w:firstLine="0" w:firstLineChars="0"/>
              <w:jc w:val="center"/>
              <w:rPr>
                <w:rFonts w:ascii="黑体" w:hAnsi="黑体" w:eastAsia="等线" w:cs="黑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等线" w:cs="黑体"/>
                <w:b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2544" w:type="dxa"/>
            <w:shd w:val="clear" w:color="auto" w:fill="auto"/>
            <w:vAlign w:val="center"/>
          </w:tcPr>
          <w:p w14:paraId="08C5D226">
            <w:pPr>
              <w:numPr>
                <w:ilvl w:val="-1"/>
                <w:numId w:val="0"/>
              </w:numPr>
              <w:snapToGrid w:val="0"/>
              <w:spacing w:before="120" w:after="156" w:afterLines="50" w:line="240" w:lineRule="auto"/>
              <w:ind w:left="0" w:leftChars="0" w:right="0" w:rightChars="0" w:firstLine="0" w:firstLineChars="0"/>
              <w:jc w:val="center"/>
              <w:rPr>
                <w:rFonts w:ascii="黑体" w:hAnsi="黑体" w:eastAsia="等线" w:cs="黑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等线" w:cs="黑体"/>
                <w:b/>
                <w:color w:val="000000"/>
                <w:sz w:val="28"/>
                <w:szCs w:val="28"/>
              </w:rPr>
              <w:t>班级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69A8A54">
            <w:pPr>
              <w:numPr>
                <w:ilvl w:val="-1"/>
                <w:numId w:val="0"/>
              </w:numPr>
              <w:snapToGrid w:val="0"/>
              <w:spacing w:before="120" w:after="156" w:afterLines="50" w:line="240" w:lineRule="auto"/>
              <w:ind w:left="0" w:leftChars="0" w:right="0" w:rightChars="0" w:firstLine="0" w:firstLineChars="0"/>
              <w:jc w:val="center"/>
              <w:rPr>
                <w:rFonts w:ascii="黑体" w:hAnsi="黑体" w:eastAsia="等线" w:cs="黑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等线" w:cs="黑体"/>
                <w:b/>
                <w:color w:val="000000"/>
                <w:sz w:val="28"/>
                <w:szCs w:val="28"/>
              </w:rPr>
              <w:t>学号</w:t>
            </w:r>
          </w:p>
        </w:tc>
      </w:tr>
      <w:tr w14:paraId="7935EEAD">
        <w:trPr>
          <w:trHeight w:val="0" w:hRule="atLeast"/>
        </w:trPr>
        <w:tc>
          <w:tcPr>
            <w:tcW w:w="1174" w:type="dxa"/>
            <w:shd w:val="clear" w:color="auto" w:fill="auto"/>
            <w:vAlign w:val="center"/>
          </w:tcPr>
          <w:p w14:paraId="47BF3BBE">
            <w:pPr>
              <w:numPr>
                <w:ilvl w:val="-1"/>
                <w:numId w:val="0"/>
              </w:numPr>
              <w:snapToGrid w:val="0"/>
              <w:spacing w:before="120" w:after="156" w:afterLines="50" w:line="240" w:lineRule="auto"/>
              <w:ind w:right="0" w:rightChars="0"/>
              <w:jc w:val="center"/>
              <w:rPr>
                <w:rFonts w:hint="default" w:ascii="黑体" w:hAnsi="黑体" w:eastAsia="黑体" w:cs="黑体"/>
                <w:color w:val="000000"/>
                <w:sz w:val="26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6"/>
                <w:szCs w:val="28"/>
                <w:lang w:val="en-US" w:eastAsia="zh-CN"/>
              </w:rPr>
              <w:t>朱宇泽</w:t>
            </w:r>
          </w:p>
        </w:tc>
        <w:tc>
          <w:tcPr>
            <w:tcW w:w="2544" w:type="dxa"/>
            <w:shd w:val="clear" w:color="auto" w:fill="auto"/>
            <w:vAlign w:val="center"/>
          </w:tcPr>
          <w:p w14:paraId="2989E5AD">
            <w:pPr>
              <w:numPr>
                <w:ilvl w:val="-1"/>
                <w:numId w:val="0"/>
              </w:numPr>
              <w:snapToGrid w:val="0"/>
              <w:spacing w:before="120" w:after="156" w:afterLines="5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000000"/>
                <w:sz w:val="26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6"/>
                <w:szCs w:val="28"/>
              </w:rPr>
              <w:t>会计2</w:t>
            </w:r>
            <w:r>
              <w:rPr>
                <w:rFonts w:ascii="黑体" w:hAnsi="黑体" w:eastAsia="黑体" w:cs="黑体"/>
                <w:color w:val="000000"/>
                <w:sz w:val="26"/>
                <w:szCs w:val="28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6"/>
                <w:szCs w:val="28"/>
                <w:lang w:val="en-US" w:eastAsia="zh-CN"/>
              </w:rPr>
              <w:t>01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6620D51">
            <w:pPr>
              <w:numPr>
                <w:ilvl w:val="-1"/>
                <w:numId w:val="0"/>
              </w:numPr>
              <w:snapToGrid w:val="0"/>
              <w:spacing w:before="120" w:after="156" w:afterLines="5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color w:val="000000"/>
                <w:sz w:val="26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6"/>
                <w:szCs w:val="28"/>
                <w:lang w:val="en-US" w:eastAsia="zh-CN"/>
              </w:rPr>
              <w:t>20241492</w:t>
            </w:r>
          </w:p>
        </w:tc>
      </w:tr>
    </w:tbl>
    <w:p w14:paraId="18D81543">
      <w:pPr>
        <w:pStyle w:val="31"/>
        <w:pageBreakBefore/>
        <w:spacing w:after="160" w:before="0"/>
        <w:ind w:firstLine="0"/>
        <w:jc w:val="center"/>
        <w:rPr>
          <w:rFonts w:hint="eastAsia" w:ascii="Times New Roman" w:hAnsi="Times New Roman" w:eastAsia="宋体"/>
          <w:b/>
          <w:color w:val="000000"/>
          <w:sz w:val="40"/>
          <w:szCs w:val="144"/>
          <w:lang w:eastAsia="zh-CN"/>
        </w:rPr>
      </w:pPr>
      <w:r>
        <w:rPr>
          <w:rFonts w:ascii="Times New Roman" w:hAnsi="Times New Roman" w:eastAsia="宋体"/>
          <w:b/>
          <w:color w:val="000000"/>
          <w:sz w:val="21"/>
        </w:rPr>
        <w:t>一餐之间 M1 蒸烤一体机设计研究</w:t>
      </w:r>
    </w:p>
    <w:p w14:paraId="2DFDF8B5">
      <w:pPr>
        <w:pStyle w:val="3"/>
        <w:keepNext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摘要</w:t>
      </w:r>
    </w:p>
    <w:p w14:paraId="4A7C1D49">
      <w:pPr>
        <w:spacing w:line="240" w:lineRule="auto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我围绕家庭双层烹饪和蒸转烤的使用过程，整理了17份本地文献，包括9篇期刊或行业文章、6篇会议论文和2篇硕士学位论文；比对28份专利公开文本，归并为25项申请或设计，并从10个品牌的14款商品线索中选取6款代表产品、6家企业的专利展开分析。资料使我将问题集中到三处：两层装载时的受热差异，蒸转烤与餐后水汽处理，以及门体可靠性和操作理解。我据此提出M1概念机：在矩形外壳内用浅拱顶、后回风与双侧孔板组织热风，以独立供汽、受控排汽和分路集水衔接烹饪过程，再以低膨胀玻璃、浮动支承和任务式界面配合取餐与维护。本文解释每项选择的依据、代价及备选方案，并给出功率、水量与材料膨胀的初步预算。设计目标是减少换层试烤、擦水和查菜单的负担，后续将用相同装载和烹饪终点下的样机比较验证。</w:t>
      </w:r>
    </w:p>
    <w:p w14:paraId="265D87C0">
      <w:pPr>
        <w:spacing w:line="240" w:lineRule="auto"/>
        <w:jc w:val="both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我同时制作了项目网页，用于展示整机结构、模式切换和操作流程，并与本报告的图示及资料索引相互对照：</w:t>
      </w:r>
    </w:p>
    <w:p w14:paraId="17316786">
      <w:pPr>
        <w:spacing w:line="240" w:lineRule="auto"/>
        <w:jc w:val="center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default"/>
          <w:b w:val="0"/>
          <w:color w:val="000000"/>
          <w:sz w:val="24"/>
          <w:lang w:val="en-US" w:eastAsia="zh-CN"/>
        </w:rPr>
        <w:fldChar w:fldCharType="begin"/>
      </w:r>
      <w:r>
        <w:rPr>
          <w:rFonts w:hint="default"/>
          <w:b w:val="0"/>
          <w:color w:val="000000"/>
          <w:sz w:val="24"/>
          <w:lang w:val="en-US" w:eastAsia="zh-CN"/>
        </w:rPr>
        <w:instrText xml:space="preserve"> HYPERLINK "https://18250843386-cpu.github.io/steam-oven-m1/" </w:instrText>
      </w:r>
      <w:r>
        <w:rPr>
          <w:rFonts w:hint="default"/>
          <w:b w:val="0"/>
          <w:color w:val="000000"/>
          <w:sz w:val="24"/>
          <w:lang w:val="en-US" w:eastAsia="zh-CN"/>
        </w:rPr>
        <w:fldChar w:fldCharType="separate"/>
      </w:r>
      <w:r>
        <w:rPr>
          <w:rStyle w:val="135"/>
          <w:rFonts w:hint="default"/>
          <w:b w:val="0"/>
          <w:sz w:val="24"/>
          <w:lang w:val="en-US" w:eastAsia="zh-CN"/>
        </w:rPr>
        <w:t>https://18250843386-cpu.github.io/steam-oven-m1/</w:t>
      </w:r>
      <w:r>
        <w:rPr>
          <w:rFonts w:hint="default"/>
          <w:b w:val="0"/>
          <w:color w:val="000000"/>
          <w:sz w:val="24"/>
          <w:lang w:val="en-US" w:eastAsia="zh-CN"/>
        </w:rPr>
        <w:fldChar w:fldCharType="end"/>
      </w:r>
    </w:p>
    <w:p w14:paraId="322CCAA4">
      <w:pPr>
        <w:spacing w:line="240" w:lineRule="auto"/>
        <w:ind w:firstLine="0"/>
        <w:jc w:val="left"/>
        <w:rPr>
          <w:rFonts w:hint="eastAsia" w:ascii="黑体" w:hAnsi="黑体" w:eastAsia="黑体" w:cs="黑体"/>
          <w:sz w:val="22"/>
          <w:szCs w:val="21"/>
        </w:rPr>
      </w:pPr>
      <w:r>
        <w:rPr>
          <w:rFonts w:hint="eastAsia" w:ascii="黑体" w:hAnsi="黑体" w:eastAsia="黑体" w:cs="黑体"/>
          <w:b w:val="0"/>
          <w:color w:val="000000"/>
          <w:sz w:val="22"/>
          <w:szCs w:val="21"/>
        </w:rPr>
        <w:t>关键词：蒸烤一体机；消费者需求；均压送风；材料界面；过程感知</w:t>
      </w:r>
    </w:p>
    <w:p w14:paraId="32566F56">
      <w:pPr>
        <w:pStyle w:val="3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8"/>
          <w:lang w:val="en-US" w:eastAsia="zh-CN"/>
        </w:rPr>
        <w:t>一、</w:t>
      </w:r>
      <w:r>
        <w:rPr>
          <w:rFonts w:ascii="Times New Roman" w:hAnsi="Times New Roman" w:eastAsia="宋体"/>
          <w:b/>
          <w:color w:val="000000"/>
          <w:sz w:val="28"/>
        </w:rPr>
        <w:t>从消费者的使用过程发现问题</w:t>
      </w:r>
    </w:p>
    <w:p w14:paraId="0F9B521B">
      <w:pPr>
        <w:pStyle w:val="4"/>
        <w:keepNext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1</w:t>
      </w:r>
      <w:r>
        <w:rPr>
          <w:rFonts w:ascii="Times New Roman" w:hAnsi="Times New Roman" w:eastAsia="宋体"/>
          <w:b/>
          <w:color w:val="000000"/>
          <w:sz w:val="24"/>
        </w:rPr>
        <w:t>.1 先明确消费者想完成的事</w:t>
      </w:r>
    </w:p>
    <w:p w14:paraId="4E6460C8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课堂上的玻璃窑案例给我的启发，是先观察受热差异，再寻找热量传递的原因。回到厨房，消费者真正关心的是一盘菜能否稳定做好、取餐是否方便、用完是否容易清理。我因此把观察范围放在购买安装、设定、烹饪观察、取餐和清洁五个环节，用具体任务判断一个改进是否有价值。</w:t>
      </w:r>
    </w:p>
    <w:p w14:paraId="0D2DA26C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智能厨电界面及老年用户引导研究让我关注信息分组、步骤反馈和错误恢复。消费者报道则补充了小容量、水箱、操作复杂与清洁等实际经历。平台中一条关于积水的投诉，帮助我进一步追问冷凝水的去向。这些反馈用于发现使用情境，研究论文和结构资料用于解释原因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⁠[1,2,3,4]</w:t>
      </w:r>
    </w:p>
    <w:p w14:paraId="59CBE247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消费者任务与设计问题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91"/>
        <w:gridCol w:w="4989"/>
      </w:tblGrid>
      <w:tr w14:paraId="6CCCA05B">
        <w:trPr>
          <w:cantSplit/>
          <w:tblHeader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010FA2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使用环节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DF8F85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具体困难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E9D86E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证据与设计关注</w:t>
            </w:r>
          </w:p>
        </w:tc>
      </w:tr>
      <w:tr w14:paraId="4C9C68B0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5BEEF8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购买安装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07B5CF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机身放得下，餐盘或开门空间却受限制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D52D38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规格表与说明书：同时看外形、散热、烤盘和抽取空间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⁠[5,6,7]</w:t>
            </w:r>
          </w:p>
        </w:tc>
      </w:tr>
      <w:tr w14:paraId="00B6E929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377842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模式设定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301DBE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份量、层位、器皿和模式需要连续判断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F88267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用户研究：分步确认任务，保留返回与停止入口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⁠[1,2]</w:t>
            </w:r>
          </w:p>
        </w:tc>
      </w:tr>
      <w:tr w14:paraId="50F96D05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29CA79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烹饪观察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739091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上下层上色不同，玻璃起雾难观察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434A0D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温场与叶轮研究、除雾专利：分开测腔温、食品温度与可见面积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⁠[8,9,10]</w:t>
            </w:r>
          </w:p>
        </w:tc>
      </w:tr>
      <w:tr w14:paraId="0113EF69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9CCA61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安全取餐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53C90A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热汽、热托盘和门面温度同时影响操作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A66712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玻璃门研究与隔热专利：材料、装配、排汽及提示共同考虑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⁠[11,12]</w:t>
            </w:r>
          </w:p>
        </w:tc>
      </w:tr>
      <w:tr w14:paraId="4A396072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E2335C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餐后清洁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5D98F8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腔底、门槽与管路余水需要逐处擦拭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C8207C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报道、投诉与供排水专利：减少积水位置，缩短可拆洗路径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⁠[3,4,13]</w:t>
            </w:r>
          </w:p>
        </w:tc>
      </w:tr>
    </w:tbl>
    <w:p>
      <w:pPr>
        <w:pStyle w:val="4"/>
        <w:keepNext/>
        <w:spacing w:line="240" w:lineRule="auto" w:after="100" w:before="1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1.2 将目标家庭与问题优先级说清楚</w:t>
      </w:r>
    </w:p>
    <w:p>
      <w:pPr>
        <w:spacing w:line="240" w:lineRule="auto" w:after="10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1面向有嵌入安装条件、希望一次使用两层烤盘，并经常需要先蒸后烤的家庭。小份量台式机、微波复合功能和所有人群的语音需求，仍可作为比较对象，但不作为本轮同时满足的目标。我先解决两层食品差异和蒸烤收尾，再让门体与界面支撑这一过程。这样能避免为了增加功能而占去装载、维护和散热空间。</w:t>
      </w:r>
    </w:p>
    <w:p>
      <w:pPr>
        <w:keepNext/>
        <w:spacing w:line="240" w:lineRule="auto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问题优先级与设计选择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优先问题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依据及其能说明的内容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选择与检验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两层受热差异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温场和叶轮研究解释气流机制；不能直接代表全部型号的食品表现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[8,9]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均压送风优先；同负载测温场、食品中心温度和上色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蒸转烤与残水清理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报道、单条投诉提示使用情境；控湿和排水资料解释机制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[3,4,13,14]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停汽后排湿、分路集水；同时测转段、耗电与擦洗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门体可靠性与操作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单型号玻璃失效研究、门体专利和用户研究分别支撑材料、结构与交互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[1,2,11,12]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浮动支承、取餐前排汽和任务反馈分别验证</w:t>
            </w:r>
          </w:p>
        </w:tc>
      </w:tr>
    </w:tbl>
    <w:p w14:paraId="72747539">
      <w:pPr>
        <w:pStyle w:val="4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1.3 将受热和水汽问题分别解释清楚</w:t>
      </w:r>
    </w:p>
    <w:p w14:paraId="196CB1D1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盘上色差、腔内温差和食品外熟里生对应不同的测量对象。托盘遮挡会改变回流，食品厚度又会影响中心升温。因此，我把均匀性设计放在空气分配和食品反馈上。蒸汽遇到冷表面后形成的水，则要沿门槽、腔底和排汽冷凝件分别收集。这样能把“烤得不均”和“蒸后难清理”转成结构上可处理的问题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⁠[8,14]</w:t>
      </w:r>
    </w:p>
    <w:p w14:paraId="00E02E4A">
      <w:pPr>
        <w:pStyle w:val="3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8"/>
          <w:lang w:val="en-US" w:eastAsia="zh-CN"/>
        </w:rPr>
        <w:t>二、</w:t>
      </w:r>
      <w:r>
        <w:rPr>
          <w:rFonts w:ascii="Times New Roman" w:hAnsi="Times New Roman" w:eastAsia="宋体"/>
          <w:b/>
          <w:color w:val="000000"/>
          <w:sz w:val="28"/>
        </w:rPr>
        <w:t>代表产品与已有技术</w:t>
      </w:r>
    </w:p>
    <w:p w14:paraId="3C09742D">
      <w:pPr>
        <w:pStyle w:val="4"/>
        <w:keepNext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2</w:t>
      </w:r>
      <w:r>
        <w:rPr>
          <w:rFonts w:ascii="Times New Roman" w:hAnsi="Times New Roman" w:eastAsia="宋体"/>
          <w:b/>
          <w:color w:val="000000"/>
          <w:sz w:val="24"/>
        </w:rPr>
        <w:t>.1 六款代表产品的取舍</w:t>
      </w:r>
    </w:p>
    <w:p w14:paraId="7C831B6F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按安装方式选择三款嵌入式和三款台式机，并用具体型号核对功能。商品页说明配置，官方规格和说明书说明使用边界；对双层均匀性、清理负担等尚未共同测量的事项，我将其写成设计关注。安装和器皿约束属于共同使用条件，不能据此认定某品牌存在故障。</w:t>
      </w:r>
    </w:p>
    <w:p w14:paraId="1ADF6440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六款产品与设计启发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91"/>
        <w:gridCol w:w="4139"/>
      </w:tblGrid>
      <w:tr w14:paraId="4F18E95A"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6EF8AC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代表型号与场景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B6B75E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已有优势及依据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0C8AD3A">
            <w:pPr>
              <w:spacing w:after="0" w:line="240" w:lineRule="auto"/>
              <w:ind w:firstLine="0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使用条件与我的设计关注</w:t>
            </w:r>
          </w:p>
        </w:tc>
      </w:tr>
      <w:tr w14:paraId="20BDD75F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8455BB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美的 SX5</w:t>
              <w:br/>
              <w:t>嵌入式55 L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[15]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7416FF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商品页列温湿控制、热风与钛瓷内胆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E9DD40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关注两层食品差异和蒸后擦水量；用同一负载比较，避免仅按功能名称判断</w:t>
            </w:r>
          </w:p>
        </w:tc>
      </w:tr>
      <w:tr w14:paraId="4DBE4C2B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82B0A5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苏泊尔 ZKQD60-Q-DY78</w:t>
              <w:br/>
              <w:t>嵌入式60 L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[16]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E7F1F4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商品页列大容量、远红外和陶瓷膜内胆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B2AAEC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容量提供装载空间；送风如何覆盖两层，是我继续验证的结构问题</w:t>
            </w:r>
          </w:p>
        </w:tc>
      </w:tr>
      <w:tr w14:paraId="6A370274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A65106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西门子 CS0T5MAB2W</w:t>
              <w:br/>
              <w:t>嵌入式45 L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[5,17]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5DAA82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官方列35–110°C、2900 W、16 A及1.2 L水箱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8BF3D1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列作蒸汽和安装参照；高温烘烤需另选对应型号，不以零售系列名替代官方参数</w:t>
            </w:r>
          </w:p>
        </w:tc>
      </w:tr>
      <w:tr w14:paraId="6D1505B8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A4E80F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松下 NU-SC211W</w:t>
              <w:br/>
              <w:t>台式22 L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[6,18]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EB9A51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台式蒸烤，适合较小份量的使用路线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D9B089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常用餐盘和多道菜需匹配腔体；启发我先确定两层装载目标</w:t>
            </w:r>
          </w:p>
        </w:tc>
      </w:tr>
      <w:tr w14:paraId="0C213F22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259791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方太 YZK32-01-A1.i</w:t>
              <w:br/>
              <w:t>台式32 L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[19]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2EFF16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官方介绍语音交互入口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55FE49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识别失败或环境嘈杂时仍需屏幕确认和直接停止；不把语音等同于完整任务引导</w:t>
            </w:r>
          </w:p>
        </w:tc>
      </w:tr>
      <w:tr w14:paraId="4C104A54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1999EC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东芝 ER-YD95CNW</w:t>
              <w:br/>
              <w:t>台式微蒸烤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[7]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CF4020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说明书展示弧形顶与复合烹饪模式</w:t>
            </w:r>
          </w:p>
        </w:tc>
        <w:tc>
          <w:tcPr>
            <w:tcW w:w="4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A4DE58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微波对器皿另有要求；M1本轮聚焦蒸烤，减少结构与器皿判断的复杂度</w:t>
            </w:r>
          </w:p>
        </w:tc>
      </w:tr>
    </w:tbl>
    <w:p w14:paraId="3FCD3D4F">
      <w:pPr>
        <w:pStyle w:val="4"/>
        <w:keepNext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2</w:t>
      </w:r>
      <w:r>
        <w:rPr>
          <w:rFonts w:ascii="Times New Roman" w:hAnsi="Times New Roman" w:eastAsia="宋体"/>
          <w:b/>
          <w:color w:val="000000"/>
          <w:sz w:val="24"/>
        </w:rPr>
        <w:t>.2 价格对照</w:t>
      </w:r>
    </w:p>
    <w:p w14:paraId="531477EE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三款嵌入式的价格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57"/>
      </w:tblGrid>
      <w:tr w14:paraId="0DC22001"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D1B104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型号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DD5AEF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标价</w:t>
            </w:r>
          </w:p>
        </w:tc>
      </w:tr>
      <w:tr w14:paraId="25F83588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5E38FD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苏泊尔 ZKQD60-Q-DY78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2C9AC0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3459元</w:t>
            </w:r>
          </w:p>
        </w:tc>
      </w:tr>
      <w:tr w14:paraId="1492A058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480BFC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美的 SX5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817DBD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3920元</w:t>
            </w:r>
          </w:p>
        </w:tc>
      </w:tr>
      <w:tr w14:paraId="4FB5446F"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80B997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西门子 CS0T5MAB2W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81ED0E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4692元</w:t>
            </w:r>
          </w:p>
        </w:tc>
      </w:tr>
    </w:tbl>
    <w:p>
      <w:pPr>
        <w:spacing w:line="240" w:lineRule="auto" w:after="100"/>
        <w:ind w:firstLine="480"/>
      </w:pPr>
      <w:r>
        <w:rPr>
          <w:rFonts w:ascii="Times New Roman" w:hAnsi="Times New Roman" w:eastAsia="宋体"/>
          <w:b w:val="0"/>
          <w:color w:val="000000"/>
          <w:sz w:val="21"/>
        </w:rPr>
        <w:t>价格口径：2026-10-11京东已登录页面标价，可见地区为辽宁省沈阳市浑南区；三款均不叠加国补、优惠券和结算优惠。该表用于记录当时市场选择范围，产品温区及容量按表3对应的官方型号核对。[5,15,16,17]</w:t>
      </w:r>
    </w:p>
    <w:p w14:paraId="32899F0D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条标价记录的最大价差为1233元，但型号的容量、温区和功能不同，价差本身不能说明哪款更值得购买。M1的成本应先用于双层送风、水汽管理及门体可靠性。我保留标准矩形外壳和模块拆洗方式，并暂不配置微波，使有限的空间与投入围绕主要任务展开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[15,16,17]</w:t>
      </w:r>
    </w:p>
    <w:p w14:paraId="1FCE06E2">
      <w:pPr>
        <w:pStyle w:val="4"/>
        <w:keepNext/>
        <w:pageBreakBefore w:val="0"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2</w:t>
      </w:r>
      <w:r>
        <w:rPr>
          <w:rFonts w:ascii="Times New Roman" w:hAnsi="Times New Roman" w:eastAsia="宋体"/>
          <w:b/>
          <w:color w:val="000000"/>
          <w:sz w:val="24"/>
        </w:rPr>
        <w:t>.3 六家企业的专利路线</w:t>
      </w:r>
    </w:p>
    <w:p w14:paraId="7B16E8B8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六件专利分别从水、热、控制和门体切入。它们给我的启发，是将每条路径继续追到使用结束：水回到哪里，蒸汽从哪里出去，传感器如何避免滴水和油污，孔板及阀路能否拆洗。商品资料与专利在这里分别提供使用参照和结构参照。</w:t>
      </w:r>
    </w:p>
    <w:p w14:paraId="39203CC7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 代表专利的作用与后续设计任务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948"/>
        <w:gridCol w:w="3515"/>
      </w:tblGrid>
      <w:tr w14:paraId="192EA352">
        <w:trPr>
          <w:cantSplit/>
          <w:tblHeader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D62F66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企业与专利号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B88176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已有技术路线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0D0E56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M1继续处理的任务</w:t>
            </w:r>
          </w:p>
        </w:tc>
      </w:tr>
      <w:tr w14:paraId="6F8DD34B">
        <w:trPr>
          <w:cantSplit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EBAFC7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老板 CN209136182U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⁠[13]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CC59BA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分隔净水和废水，回抽管路余水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5C0EE4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把腔底、门槽和冷凝件一并接入废水路径</w:t>
            </w:r>
          </w:p>
        </w:tc>
      </w:tr>
      <w:tr w14:paraId="01B15276">
        <w:trPr>
          <w:cantSplit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7BACDA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美的 CN109008592B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⁠[20]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E60C10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预热后结合食物类别、重量控制烹饪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F555DF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让食品温度补充份量输入，明确探针的适用位置</w:t>
            </w:r>
          </w:p>
        </w:tc>
      </w:tr>
      <w:tr w14:paraId="629FD128">
        <w:trPr>
          <w:cantSplit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84A507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华帝 CN112043154B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⁠[21]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5BFBA8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利用氧浓度及冷凝蒸发阶段控制湿度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560D35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高温探头防滴、温度补偿、标定与维护</w:t>
            </w:r>
          </w:p>
        </w:tc>
      </w:tr>
      <w:tr w14:paraId="7568AA05">
        <w:trPr>
          <w:cantSplit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B47765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苏泊尔 CN218588848U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⁠[22]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7D8110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拱顶凹部与顶部风机组织气流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AB5456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改用后回风与双侧均压，保留两层装载区</w:t>
            </w:r>
          </w:p>
        </w:tc>
      </w:tr>
      <w:tr w14:paraId="079F4C17">
        <w:trPr>
          <w:cantSplit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D58681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方太 CN112294099B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⁠[23]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7638CD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阀板在直通与弯折排气通道间切换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2237BA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设置常通旁路，分离干风、湿汽和凝水</w:t>
            </w:r>
          </w:p>
        </w:tc>
      </w:tr>
      <w:tr w14:paraId="21983192">
        <w:trPr>
          <w:cantSplit/>
          <w:jc w:val="center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C3E19A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格力 CN212186239U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⁠[12]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32B3BA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门体分层隔热，调整传热路径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A8DB49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低膨胀内玻璃、浮动安装、内外风路与滴水收集</w:t>
            </w:r>
          </w:p>
        </w:tc>
      </w:tr>
    </w:tbl>
    <w:p w14:paraId="314DB506">
      <w:pPr>
        <w:pStyle w:val="4"/>
        <w:keepNext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2</w:t>
      </w:r>
      <w:r>
        <w:rPr>
          <w:rFonts w:ascii="Times New Roman" w:hAnsi="Times New Roman" w:eastAsia="宋体"/>
          <w:b/>
          <w:color w:val="000000"/>
          <w:sz w:val="24"/>
        </w:rPr>
        <w:t>.4 怎样</w:t>
      </w: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将想法落地成</w:t>
      </w:r>
      <w:r>
        <w:rPr>
          <w:rFonts w:ascii="Times New Roman" w:hAnsi="Times New Roman" w:eastAsia="宋体"/>
          <w:b/>
          <w:color w:val="000000"/>
          <w:sz w:val="24"/>
        </w:rPr>
        <w:t>家电设计</w:t>
      </w:r>
    </w:p>
    <w:p w14:paraId="72F7E71A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玻璃窑给我的启发，是从受热问题反查结构。为进一步判断能否迁移，我补查了玻璃窑蓄热室格子砖和绝热结构件专利：前者组织蓄热与换热通道，后者的“三维网状结构”指材料硬化网络，它们与家用蒸烤机的油污、快速转段和食品接触环境不同。课堂原图尚未用于结构核对，因此这里仅借用分析方法，再分别比较造型、送风和保温的适用条件。[33,34]</w:t>
      </w:r>
    </w:p>
    <w:p>
      <w:pPr>
        <w:keepNext/>
        <w:spacing w:line="240" w:lineRule="auto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 从玻璃窑到蒸烤机的适配判断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515"/>
        <w:gridCol w:w="3685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跨行业参照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差别在哪里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M1采用的方式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蓄热室格子砖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[33]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追求蓄热和换热面积；密集砖体占空间、热惯性大，不便油污清洗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借鉴通道组织；采用薄壁可拆孔板，不复制耐火砖网格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玻璃窑绝热结构件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[34]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权利要求6的“三维网状结构”指结合剂硬化后的材料网络，并非炉内三维热风通道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借鉴材料封装与绝热思路；不将材料网络等同于蒸烤送风结构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拱顶及顶部排汽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[22,23]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曲面不自动减小外机占地，顶部孔也不能单独完成模式切换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矩形外壳内浅拱；供汽、热源、循环与排汽联动</w:t>
            </w:r>
          </w:p>
        </w:tc>
      </w:tr>
    </w:tbl>
    <w:p w14:paraId="1136FCCB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最终保留浅拱的导流与滴水组织作用，以后回风和双侧孔板分配两层气流；顶部孔只作为排汽入口。已有Miele产品也提供外置蒸汽发生、气候感知、食品探针与结束前减汽功能。因此，M1的课程设计贡献在于给定体积和功率约束下的整机配合，以及可检验的取舍，不凭部件组合宣称专利新颖性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[22,23,24,25]</w:t>
      </w:r>
    </w:p>
    <w:p>
      <w:pPr>
        <w:pStyle w:val="4"/>
        <w:keepNext/>
        <w:spacing w:line="240" w:lineRule="auto" w:after="100" w:before="1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2.5 文献与专利能对应到哪一步</w:t>
      </w:r>
    </w:p>
    <w:p>
      <w:pPr>
        <w:keepNext/>
        <w:spacing w:line="240" w:lineRule="auto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表7 论文 专利与商品之间的关联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515"/>
        <w:gridCol w:w="3345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研究与专利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可追溯的关联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玻璃爆裂研究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[11]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与格力门体专利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[12]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论文2023年；专利2020年申请且作者与发明人不同。前者分析单型号失效，后者侧重隔热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属于相关工程问题，不能认定论文转化成该专利，也不能认定某在售型号已采用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华帝控湿研究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[14]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与CN112043154B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[21]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同属华帝技术研究，麦伟添同时出现在论文作者与专利发明人中；专利申请早于论文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可确认人员与主题关联；具体产品的采用仍需型号资料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门玻璃除雾CN108836103B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[10]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权利人为中山佳威路；公开结构给出余热风道除雾、防挂滴路线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可作为门面方案参照；本地17份文献中无专门除雾实验论文与之建立转化关系</w:t>
            </w:r>
          </w:p>
        </w:tc>
      </w:tr>
    </w:tbl>
    <w:p w14:paraId="3443347F">
      <w:pPr>
        <w:pStyle w:val="4"/>
        <w:keepNext/>
        <w:pageBreakBefore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 六件专利的附图与分析</w:t>
      </w:r>
    </w:p>
    <w:p w14:paraId="7A7E6141">
      <w:pPr>
        <w:pStyle w:val="5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2.6.1 老板：让管路余水有回去的地方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932"/>
      </w:tblGrid>
      <w:tr w14:paraId="1F0D82B0">
        <w:trPr>
          <w:cantSplit/>
          <w:jc w:val="center"/>
        </w:trPr>
        <w:tc>
          <w:tcPr>
            <w:tcW w:w="43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DF9C8">
            <w:pPr>
              <w:ind w:firstLine="0"/>
              <w:jc w:val="center"/>
            </w:pPr>
            <w:r>
              <w:drawing>
                <wp:inline distT="0" distB="0" distL="114300" distR="114300">
                  <wp:extent cx="2645410" cy="2508885"/>
                  <wp:effectExtent l="0" t="0" r="2159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250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4F8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图1 供排水结构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CN209136182U, 原图1（PDF第9页）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  <w:vertAlign w:val="superscript"/>
              </w:rPr>
              <w:t>⁠[13]</w:t>
            </w:r>
          </w:p>
        </w:tc>
        <w:tc>
          <w:tcPr>
            <w:tcW w:w="4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41EB7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针对的问题：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蒸功能结束后，管路里可能仍留有余水。</w:t>
            </w:r>
          </w:p>
          <w:p w14:paraId="418E8FCA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已有做法：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水箱分成储水区和废水区，回水泵把管路余水送回废水区。</w:t>
            </w:r>
          </w:p>
          <w:p w14:paraId="10F7028F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优势：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供水和回水有明确路径，便于把余水处理加入程序。</w:t>
            </w:r>
          </w:p>
          <w:p w14:paraId="5CADFDE8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后续设计任务：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它处理的是管路水；腔底冷凝水、废水盒倒空和泵路清洗仍要单独设计。</w:t>
            </w:r>
          </w:p>
        </w:tc>
      </w:tr>
    </w:tbl>
    <w:p w14:paraId="47B1EBED">
      <w:pPr>
        <w:pStyle w:val="5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2.6.2 美的：让烹饪时间对应食物条件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932"/>
      </w:tblGrid>
      <w:tr w14:paraId="51CA86FD">
        <w:trPr>
          <w:cantSplit/>
          <w:jc w:val="center"/>
        </w:trPr>
        <w:tc>
          <w:tcPr>
            <w:tcW w:w="43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7403D">
            <w:pPr>
              <w:ind w:firstLine="0"/>
              <w:jc w:val="center"/>
            </w:pPr>
            <w:r>
              <w:drawing>
                <wp:inline distT="0" distB="0" distL="114300" distR="114300">
                  <wp:extent cx="2645410" cy="3272155"/>
                  <wp:effectExtent l="0" t="0" r="2159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327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95F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图2 烹饪控制流程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CN109008592B, 原图3（PDF第18页）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  <w:vertAlign w:val="superscript"/>
              </w:rPr>
              <w:t>⁠[20]</w:t>
            </w:r>
          </w:p>
        </w:tc>
        <w:tc>
          <w:tcPr>
            <w:tcW w:w="4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17A58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针对的问题：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同一时间参数不一定适合不同食物和份量。</w:t>
            </w:r>
          </w:p>
          <w:p w14:paraId="38E1E56C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已有做法：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先按模式预热，再结合食物种类和重量决定时长，并控制蒸汽与热风。</w:t>
            </w:r>
          </w:p>
          <w:p w14:paraId="763F8346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优势：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把用户的食物条件放进控制过程，比只给固定倒计时更贴近任务。</w:t>
            </w:r>
          </w:p>
          <w:p w14:paraId="473853E4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后续设计任务：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用户仍要提供可信的食物信息；同重量但摆位不同，也可能得到不同结果。</w:t>
            </w:r>
          </w:p>
        </w:tc>
      </w:tr>
    </w:tbl>
    <w:p w14:paraId="1FF3221F">
      <w:pPr>
        <w:spacing w:line="240" w:lineRule="auto"/>
      </w:pPr>
      <w:r>
        <w:br w:type="page"/>
      </w:r>
    </w:p>
    <w:p w14:paraId="53DA566C">
      <w:pPr>
        <w:pStyle w:val="5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2.6.3 华帝：把冷凝水的影响纳入控湿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932"/>
      </w:tblGrid>
      <w:tr w14:paraId="7225F945">
        <w:trPr>
          <w:cantSplit/>
          <w:jc w:val="center"/>
        </w:trPr>
        <w:tc>
          <w:tcPr>
            <w:tcW w:w="43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3AC9F">
            <w:pPr>
              <w:ind w:firstLine="0"/>
              <w:jc w:val="center"/>
            </w:pPr>
            <w:r>
              <w:drawing>
                <wp:inline distT="0" distB="0" distL="114300" distR="114300">
                  <wp:extent cx="2645410" cy="2355215"/>
                  <wp:effectExtent l="0" t="0" r="2159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235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E27B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图3 控湿流程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CN112043154B, 原图1（PDF第12页）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  <w:vertAlign w:val="superscript"/>
              </w:rPr>
              <w:t>⁠[21]</w:t>
            </w:r>
          </w:p>
        </w:tc>
        <w:tc>
          <w:tcPr>
            <w:tcW w:w="4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C8E8B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针对的问题：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蒸汽与冷凝水共同作用，可能使目标湿度出现过冲。</w:t>
            </w:r>
          </w:p>
          <w:p w14:paraId="674DD9DA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已有做法：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利用氧浓度变化判断加湿时机，并等待冷凝水蒸发阶段。</w:t>
            </w:r>
          </w:p>
          <w:p w14:paraId="7221C02D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优势：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控制依据包含过程状态，而不是只设一个供汽时间。</w:t>
            </w:r>
          </w:p>
          <w:p w14:paraId="1D76D2B6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后续设计任务：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需为传感器预留防滴、拆洗与标定位置，减少油污漂移带来的维护负担。</w:t>
            </w:r>
          </w:p>
        </w:tc>
      </w:tr>
    </w:tbl>
    <w:p w14:paraId="308D1E90">
      <w:pPr>
        <w:pStyle w:val="5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2.6.4 苏泊尔：从炉腔顶部组织循环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932"/>
      </w:tblGrid>
      <w:tr w14:paraId="4BB2D681">
        <w:trPr>
          <w:cantSplit/>
          <w:jc w:val="center"/>
        </w:trPr>
        <w:tc>
          <w:tcPr>
            <w:tcW w:w="43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10982">
            <w:pPr>
              <w:ind w:firstLine="0"/>
              <w:jc w:val="center"/>
            </w:pPr>
            <w:r>
              <w:drawing>
                <wp:inline distT="0" distB="0" distL="114300" distR="114300">
                  <wp:extent cx="2645410" cy="2214880"/>
                  <wp:effectExtent l="0" t="0" r="21590" b="203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221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AB4D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图4 顶部风机与拱顶剖面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CN218588848U, 原图5（PDF第16页）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  <w:vertAlign w:val="superscript"/>
              </w:rPr>
              <w:t>⁠[22]</w:t>
            </w:r>
          </w:p>
        </w:tc>
        <w:tc>
          <w:tcPr>
            <w:tcW w:w="4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610D9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针对的问题：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风机位置可能占去烹饪空间，气流还要覆盖不同层位。</w:t>
            </w:r>
          </w:p>
          <w:p w14:paraId="4BFC04FB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已有做法：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在顶部凹部设置风机罩，让气流从中心进入、向周边流出；说明书给出拱形或穹形顶壁。</w:t>
            </w:r>
          </w:p>
          <w:p w14:paraId="11717603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优势：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把风机和上部空间一起考虑，为装载区留下更清楚的边界。</w:t>
            </w:r>
          </w:p>
          <w:p w14:paraId="2B5FD597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后续设计任务：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空间收益须连同外壳、散热和装载比较；食品均匀性须保持风机和负载一致。</w:t>
            </w:r>
          </w:p>
        </w:tc>
      </w:tr>
    </w:tbl>
    <w:p w14:paraId="36DD0FF8">
      <w:pPr>
        <w:spacing w:line="240" w:lineRule="auto"/>
      </w:pPr>
      <w:r>
        <w:br w:type="page"/>
      </w:r>
    </w:p>
    <w:p w14:paraId="03A6666F">
      <w:pPr>
        <w:pStyle w:val="5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2.6.5 方太：蒸与烤选用不同排汽路径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932"/>
      </w:tblGrid>
      <w:tr w14:paraId="0B5F3031">
        <w:trPr>
          <w:cantSplit/>
          <w:jc w:val="center"/>
        </w:trPr>
        <w:tc>
          <w:tcPr>
            <w:tcW w:w="43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1C074">
            <w:pPr>
              <w:ind w:firstLine="0"/>
              <w:jc w:val="center"/>
            </w:pPr>
            <w:r>
              <w:drawing>
                <wp:inline distT="0" distB="0" distL="114300" distR="114300">
                  <wp:extent cx="2645410" cy="2096135"/>
                  <wp:effectExtent l="0" t="0" r="21590" b="120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209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1A71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图5 双通道阀路剖面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CN112294099B, 原图7（PDF第19页，旋转排版）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  <w:vertAlign w:val="superscript"/>
              </w:rPr>
              <w:t>⁠[23]</w:t>
            </w:r>
          </w:p>
        </w:tc>
        <w:tc>
          <w:tcPr>
            <w:tcW w:w="4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A766E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针对的问题：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蒸模式想保留蒸汽热量，烤模式又需要排走多余水汽。</w:t>
            </w:r>
          </w:p>
          <w:p w14:paraId="740DA8B5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已有做法：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阀板切换竖向直通与弯折通道，分别适应蒸和烤。</w:t>
            </w:r>
          </w:p>
          <w:p w14:paraId="43C07E22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优势：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模式切换有具体的气流结构，而不只改变屏幕上的名称。</w:t>
            </w:r>
          </w:p>
          <w:p w14:paraId="7E0A7C6F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后续设计任务：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活动阀、窄通道及油水混合物会带来清洁与故障设计任务，取餐排汽也需单独考虑。</w:t>
            </w:r>
          </w:p>
        </w:tc>
      </w:tr>
    </w:tbl>
    <w:p w14:paraId="3A7E40B7">
      <w:pPr>
        <w:pStyle w:val="5"/>
        <w:keepNext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2.6.6 格力：先降低门外表面热量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932"/>
      </w:tblGrid>
      <w:tr w14:paraId="7405670B">
        <w:trPr>
          <w:cantSplit/>
          <w:jc w:val="center"/>
        </w:trPr>
        <w:tc>
          <w:tcPr>
            <w:tcW w:w="43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31746">
            <w:pPr>
              <w:ind w:firstLine="0"/>
              <w:jc w:val="center"/>
            </w:pPr>
            <w:r>
              <w:drawing>
                <wp:inline distT="0" distB="0" distL="114300" distR="114300">
                  <wp:extent cx="2645410" cy="1223645"/>
                  <wp:effectExtent l="0" t="0" r="21590" b="209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122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B612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图6 隔热玻璃层间结构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br/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CN212186239U, 原图4（PDF第10页）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  <w:vertAlign w:val="superscript"/>
              </w:rPr>
              <w:t>⁠[12]</w:t>
            </w:r>
          </w:p>
        </w:tc>
        <w:tc>
          <w:tcPr>
            <w:tcW w:w="493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92827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针对的问题：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高温烹饪时门外表面可能过热。</w:t>
            </w:r>
          </w:p>
          <w:p w14:paraId="606CCE38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已有做法：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外层玻璃与隔热玻璃分层，隔热玻璃内部再设置隔热结构。</w:t>
            </w:r>
          </w:p>
          <w:p w14:paraId="3C5C733A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优势：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从门的传热路径着手，减少用户接触高温面的风险。</w:t>
            </w:r>
          </w:p>
          <w:p w14:paraId="16D179C8">
            <w:pPr>
              <w:spacing w:after="10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后续设计任务：</w:t>
            </w: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隔热结构还需与材料、装配和热循环评价配合，覆盖门体可靠性的不同因素。</w:t>
            </w:r>
          </w:p>
        </w:tc>
      </w:tr>
    </w:tbl>
    <w:p w14:paraId="2F2D1DAB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门面除雾补充参照中山佳威路CN108836103B。其余热风道提示我，可以同时考虑观察、门温与能耗；M1采用内侧热风掠流和外侧独立冷却，门面水滴则通过下沿集水槽进入废水盒。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⁠[10]</w:t>
      </w:r>
    </w:p>
    <w:p w14:paraId="6F4B5A7D">
      <w:pPr>
        <w:pStyle w:val="3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8"/>
          <w:lang w:val="en-US" w:eastAsia="zh-CN"/>
        </w:rPr>
        <w:t>三、</w:t>
      </w:r>
      <w:r>
        <w:rPr>
          <w:rFonts w:ascii="Times New Roman" w:hAnsi="Times New Roman" w:eastAsia="宋体"/>
          <w:b/>
          <w:color w:val="000000"/>
          <w:sz w:val="28"/>
        </w:rPr>
        <w:t>M1整机优化设计</w:t>
      </w:r>
    </w:p>
    <w:p w14:paraId="3D299C1C">
      <w:pPr>
        <w:pStyle w:val="4"/>
        <w:keepNext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宋体"/>
          <w:b/>
          <w:color w:val="000000"/>
          <w:sz w:val="24"/>
        </w:rPr>
        <w:t>.1 外形与两层装载</w:t>
      </w:r>
    </w:p>
    <w:p w14:paraId="397FA95A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我将M1定位为紧凑嵌入式家用蒸烤机，矩形面板适配厨房柜体，浅拱仅位于内腔顶部。以430 × 340 mm烤盘为装载目标，优先开发两层使用。外形宽深高设为595 × 560 × 455 mm，最高烘烤温度250°C，整机同时用电上限3.0 kW。这些数值共同约束风道、保温和维修空间，并作为样机开发输入。</w:t>
      </w:r>
    </w:p>
    <w:p w14:paraId="5B451E8E">
      <w:pPr>
        <w:keepNext/>
        <w:spacing w:after="0"/>
        <w:ind w:firstLine="0"/>
        <w:jc w:val="center"/>
      </w:pPr>
      <w:r>
        <w:drawing>
          <wp:inline distT="0" distB="0" distL="114300" distR="114300">
            <wp:extent cx="5291455" cy="4062095"/>
            <wp:effectExtent l="0" t="0" r="171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06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C89D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M1正面横剖。后部回风与环形主热源以投影表达，左右孔板向两层装载区送风。</w:t>
      </w:r>
    </w:p>
    <w:p w14:paraId="4437BDD2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 整机分区与用户收益目标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92"/>
        <w:gridCol w:w="3288"/>
      </w:tblGrid>
      <w:tr w14:paraId="7B5CE171">
        <w:trPr>
          <w:cantSplit/>
          <w:tblHeader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9A394F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分区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B1D5B4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主要配置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C04470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对应任务</w:t>
            </w:r>
          </w:p>
        </w:tc>
      </w:tr>
      <w:tr w14:paraId="1B7281F6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580F1D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热腔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81A88F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后回风、双侧均压、上下补偿、光滑浅拱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910313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减少换层和反复试烤</w:t>
            </w:r>
          </w:p>
        </w:tc>
      </w:tr>
      <w:tr w14:paraId="394066AA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183796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湿路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40740C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外置发生器、独立排汽、坡底与前抽水盒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26EBA1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方便蒸转烤和餐后排水</w:t>
            </w:r>
          </w:p>
        </w:tc>
      </w:tr>
      <w:tr w14:paraId="387F29D3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C9F603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门体与冷端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759A9A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三层玻璃、浮动支承、封装保温、独立冷却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8DDD55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观察、触碰和维护</w:t>
            </w:r>
          </w:p>
        </w:tc>
      </w:tr>
      <w:tr w14:paraId="64DCAFDA"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85101C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感知</w:t>
            </w:r>
          </w:p>
        </w:tc>
        <w:tc>
          <w:tcPr>
            <w:tcW w:w="4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AD8F9B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四点腔温、食品探针、水蒸汽状态及互锁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81DAFD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让控制和提示跟随过程</w:t>
            </w:r>
          </w:p>
        </w:tc>
      </w:tr>
    </w:tbl>
    <w:p w14:paraId="72F25F7B">
      <w:pPr>
        <w:pStyle w:val="4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宋体"/>
          <w:b/>
          <w:color w:val="000000"/>
          <w:sz w:val="24"/>
        </w:rPr>
        <w:t>.2 均压送风与浅拱顶的分工</w:t>
      </w:r>
    </w:p>
    <w:p w14:paraId="1E3DC6EE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热风从后部中央回流，经过环形主热源后进入左右两侧均压腔，再由分区孔阵送到两层烤盘附近。沿流路调整开孔面积，是已有送风专利提供的可行路线。M1在此基础上按实际装载开发孔阵，孔板可拆卸，减少用户清理风道的困难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⁠[24]</w:t>
      </w:r>
    </w:p>
    <w:p w14:paraId="2742CED3">
      <w:pPr>
        <w:keepNext/>
        <w:spacing w:after="0"/>
        <w:ind w:firstLine="0"/>
        <w:jc w:val="center"/>
      </w:pPr>
      <w:r>
        <w:drawing>
          <wp:inline distT="0" distB="0" distL="114300" distR="114300">
            <wp:extent cx="5255895" cy="31165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1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C734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热腔局部。橙色表示热风路径，虚线圆为后部部件投影，箭头仅说明流向。</w:t>
      </w:r>
    </w:p>
    <w:p w14:paraId="5B589E33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浅拱采用光滑曲面，帮助上部气流转向，并将顶面冷凝水引向侧沟。它本身不能保证两盘食物同时上色一致，因此我保留上下补偿热源，用前后、上下四个腔温点观察差异，再结合食品探针调整加热和风机转速。叶轮与温场研究支持从风路和反馈入手；食品结果仍须在装载条件下测量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⁠[8,9,22]</w:t>
      </w:r>
    </w:p>
    <w:p w14:paraId="1D4D8212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比较时固定风机、热源、烤盘和食物量，先只改变顶部形状，再改变孔阵和控制。这样可以分别判断浅拱、送风和反馈各自的作用。四点腔温用于观察热场，食品中心温度和上色照片用于判断消费者实际得到的结果。</w:t>
      </w:r>
    </w:p>
    <w:p w14:paraId="0C21B561">
      <w:pPr>
        <w:pStyle w:val="4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宋体"/>
          <w:b/>
          <w:color w:val="000000"/>
          <w:sz w:val="24"/>
        </w:rPr>
        <w:t>.3 供汽排汽与冷凝水路径</w:t>
      </w:r>
    </w:p>
    <w:p w14:paraId="49F42454">
      <w:pPr>
        <w:keepNext/>
        <w:spacing w:after="0"/>
        <w:ind w:firstLine="0"/>
        <w:jc w:val="center"/>
      </w:pPr>
      <w:r>
        <w:drawing>
          <wp:inline distT="0" distB="0" distL="114300" distR="114300">
            <wp:extent cx="4895850" cy="4125595"/>
            <wp:effectExtent l="0" t="0" r="635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12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777C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图9 M1侧向纵剖。湿汽走独立管路，干侧风机在空气侧工作，二者在末端混合。</w:t>
      </w:r>
    </w:p>
    <w:p w14:paraId="0E2D2271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净水盒经计量泵向外置小容积发生器供水，蒸汽从腔体低位双侧进入。正常停汽时先停止发生器加热，再按程序处理供水与排空；缺水或异常断供另由独立干烧保护切断相关热源。前抽净水盒与废水盒物理分隔，净水称重，废水设浮子及到位检测，避免将冷凝废水送回供汽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[13,25]</w:t>
      </w:r>
    </w:p>
    <w:p w14:paraId="7A763D8A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腔体湿汽经调节阀进入间壁冷凝件，凝液分离后流入废水盒，余汽在末端与冷却空气混合。干风机与控制板留在干侧。另设常通、无液封的旁路，绕开阀与狭窄冷凝段通向出口，调节阀按失电打开设计。冷凝机理参考商用冷凝罩，但M1按紧凑家用空间重新布置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⁠[23,26]</w:t>
      </w:r>
    </w:p>
    <w:p w14:paraId="25686522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冷凝需要散热能力。例如每分钟冷凝10 g、约100°C的水蒸气，仅相变热就约376 W。由此我采用部分冷凝和末端混合，按实际蒸汽负荷匹配换热面积与风量，并检查出口朝向、堵塞和凝水回流。</w:t>
      </w:r>
    </w:p>
    <w:p>
      <w:pPr>
        <w:spacing w:line="240" w:lineRule="auto" w:after="10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L净水与0.8 L废水盒需要一起核算。按上述10 g/min的示例，连续冷凝30 min已产生约0.3 L水；废水盒还要接纳门槽、腔底与管路回水并保留余量，不能简单由盒容积推算烹饪时长。冷凝散热、排汽阻力和旁路热损失应同时测量，满水或阀故障时停止供汽，保持无液封排放。</w:t>
      </w:r>
    </w:p>
    <w:p w14:paraId="4B9D18B6">
      <w:pPr>
        <w:pStyle w:val="4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宋体"/>
          <w:b/>
          <w:color w:val="000000"/>
          <w:sz w:val="24"/>
        </w:rPr>
        <w:t>.4 门体材料与浮动安装</w:t>
      </w:r>
    </w:p>
    <w:p w14:paraId="4541CFFE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门体同时承担观察、隔热和反复开合。玻璃门研究提示，材料、装配间隙与镀膜位置都可能影响可靠性。因此，我将热侧内片设为3.3 mm低膨胀硼硅玻璃，中间为3 mm Low-E玻璃，外片为3.2 mm钢化玻璃，两道气层分别组织隔热与冷却。内侧热风掠流用于减轻起雾，外侧空气独立冷却。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⁠[10,11,12]</w:t>
      </w:r>
    </w:p>
    <w:p w14:paraId="25E2292D">
      <w:pPr>
        <w:keepNext/>
        <w:spacing w:after="0"/>
        <w:ind w:firstLine="0"/>
        <w:jc w:val="center"/>
      </w:pPr>
      <w:r>
        <w:drawing>
          <wp:inline distT="0" distB="0" distL="114300" distR="114300">
            <wp:extent cx="5759450" cy="3677285"/>
            <wp:effectExtent l="0" t="0" r="635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F7D1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图10 门体叠层与浮动边框。Low-E镀膜位于干燥气层侧，装配需标识朝向。</w:t>
      </w:r>
    </w:p>
    <w:p w14:paraId="0E086CAE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内片材料参照BOROFLOAT 33，其20–300°C线膨胀系数为3.25 × 10⁻⁶/K。以400 mm边长和200 K温升计算，玻璃热伸长约0.26 mm；框材若按17 × 10⁻⁶/K估算，伸长约1.36 mm，二者相差约1.10 mm。这使弹性垫和浮动支承成为必要的结构考虑。图中每边2 mm为初始开发间隙，后续还须结合公差、温差与开合载荷确定。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⁠[27,28]</w:t>
      </w:r>
    </w:p>
    <w:p w14:paraId="3FDB8523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低膨胀材料、浮动边框和分层冷却各自处理不同问题。样机将分别经历热循环、装配偏差和开门滴水等工况，评价玻璃、密封和门表面温度；屏幕同步提示托盘与门体仍热，引导缓开门。</w:t>
      </w:r>
    </w:p>
    <w:p w14:paraId="5543979A">
      <w:pPr>
        <w:pStyle w:val="4"/>
        <w:keepNext/>
        <w:pageBreakBefore/>
        <w:ind w:firstLine="0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3</w:t>
      </w:r>
      <w:r>
        <w:rPr>
          <w:rFonts w:ascii="Times New Roman" w:hAnsi="Times New Roman" w:eastAsia="宋体"/>
          <w:b/>
          <w:color w:val="000000"/>
          <w:sz w:val="24"/>
        </w:rPr>
        <w:t>.5 湿腔保温与清洁几何</w:t>
      </w:r>
    </w:p>
    <w:p w14:paraId="4C959DB5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盐汁、冷凝水和清洗剂接触的区域采用0.8–1.0 mm 316L湿腔。含钼、低碳的材料选择提供耐蚀裕量，连续焊缝、焊后酸洗钝化和顺畅排水共同决定实际表现。干侧支撑与外壳按温度和环境分别使用304及镀铝锌钢板，将材料投入集中在需要的位置。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⁠[29,30]</w:t>
      </w:r>
    </w:p>
    <w:p w14:paraId="3C3E00C9">
      <w:pPr>
        <w:keepNext/>
        <w:spacing w:after="0"/>
        <w:ind w:firstLine="0"/>
        <w:jc w:val="center"/>
      </w:pPr>
      <w:r>
        <w:drawing>
          <wp:inline distT="0" distB="0" distL="114300" distR="114300">
            <wp:extent cx="5687695" cy="2066290"/>
            <wp:effectExtent l="0" t="0" r="190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B67C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 壁体结构。微孔保温芯封装在干侧夹层，金属隔离罩将其与食品及空气流路分开。</w:t>
      </w:r>
    </w:p>
    <w:p w14:paraId="5399BBA8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 mm微孔硅保温板用于控制壁厚，材料数据表在平均200°C下给出的参考导热系数为0.023 W/(m·K)。本设计将保温芯完整封边并加金属隔离罩，再通过耐温隔热垫和错位支架减小热桥。保温材料数据只是选材依据，整机散热仍要连同门、接缝和支撑一起评价。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⁠[31]</w:t>
      </w:r>
    </w:p>
    <w:p w14:paraId="4AC8FCD1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表9 清洁设计落实到可接近的位置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3672"/>
        <w:gridCol w:w="3912"/>
      </w:tblGrid>
      <w:tr w14:paraId="4003770C">
        <w:trPr>
          <w:cantSplit/>
          <w:tblHeader/>
          <w:jc w:val="center"/>
        </w:trPr>
        <w:tc>
          <w:tcPr>
            <w:tcW w:w="1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C9BD2B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770CE6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具体处理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F07FC2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用户完成的动作</w:t>
            </w:r>
          </w:p>
        </w:tc>
      </w:tr>
      <w:tr w14:paraId="61545ABF">
        <w:trPr>
          <w:cantSplit/>
          <w:jc w:val="center"/>
        </w:trPr>
        <w:tc>
          <w:tcPr>
            <w:tcW w:w="1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4642E1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顶与转角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031EA8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光滑浅拱、侧沟、R15圆角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DE1FFF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擦拭时少跨越缝隙与密集结构</w:t>
            </w:r>
          </w:p>
        </w:tc>
      </w:tr>
      <w:tr w14:paraId="6CD00C34">
        <w:trPr>
          <w:cantSplit/>
          <w:jc w:val="center"/>
        </w:trPr>
        <w:tc>
          <w:tcPr>
            <w:tcW w:w="1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5EFC47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腔底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5C9E00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1.5°坡底、前集水槽、粗滤、短排水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294E88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取出粗滤并冲洗，倒空废水盒</w:t>
            </w:r>
          </w:p>
        </w:tc>
      </w:tr>
      <w:tr w14:paraId="3AED90D7">
        <w:trPr>
          <w:cantSplit/>
          <w:jc w:val="center"/>
        </w:trPr>
        <w:tc>
          <w:tcPr>
            <w:tcW w:w="1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953691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孔板与轨架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4DF8AF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可拆卸，避免深处固定接合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AEEC54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冷却后卸下清洗并复位</w:t>
            </w:r>
          </w:p>
        </w:tc>
      </w:tr>
      <w:tr w14:paraId="558DE90B">
        <w:trPr>
          <w:cantSplit/>
          <w:jc w:val="center"/>
        </w:trPr>
        <w:tc>
          <w:tcPr>
            <w:tcW w:w="17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6B4611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发生器与冷凝件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4AC1B7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排空、除垢口及可接近模块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1DA87B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按维护提示清理和检查密封</w:t>
            </w:r>
          </w:p>
        </w:tc>
      </w:tr>
    </w:tbl>
    <w:p w14:paraId="07B7810D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370 mm深度上的1.5°坡度对应约9.7 mm落差，可作为重力汇水的起点。实际排水还受表面润湿、食物碎屑和机器水平度影响，我会同时比较残水质量与用户擦洗用时。</w:t>
      </w:r>
    </w:p>
    <w:p>
      <w:pPr>
        <w:pStyle w:val="4"/>
        <w:keepNext/>
        <w:spacing w:line="240" w:lineRule="auto" w:after="100" w:before="1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3.6 材料与结构的备选方案</w:t>
      </w:r>
    </w:p>
    <w:p>
      <w:pPr>
        <w:keepNext/>
        <w:spacing w:line="240" w:lineRule="auto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表10 选型理由与代价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1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位置与方案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选择理由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代价与备选比较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湿腔316L</w:t>
              <w:br/>
              <w:t>0.8–1.0 mm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为盐汁和清洗环境留耐蚀裕量；焊缝钝化及排水同样重要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[29,30]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相对304增加材料投入；两种样件用相同盐污及清洗循环比较，不以牌号代替寿命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内片硼硅玻璃3.3 mm</w:t>
              <w:br/>
              <w:t>每边初始间隙2 mm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低膨胀配浮动支承，处理玻璃与边框伸长差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[11,27,28]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相对普通钢化内片增加采购加工要求；厚度、支承和边缘质量共同验证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干侧微孔保温20 mm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用较薄夹层控制热损失并保留腔体空间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[31]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相对较厚纤维保温增加成本及封边工序；以外壁温升、热桥与装载空间比较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浅拱加可拆双侧孔板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分别处理顶部流向、凝水及两层送风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[22,24]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风道和侧沟占空间；与平顶、等孔孔板分别比较，保留可拆清理方式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高温氧探头作为进阶配置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用经标定的氧信号间接判断水汽状态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vertAlign w:val="superscript"/>
              </w:rPr>
              <w:t>[14,21,32]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增加标定与油污维护；基础方案先用温度、时间和阀位控制，再评价增益</w:t>
            </w:r>
          </w:p>
        </w:tc>
      </w:tr>
    </w:tbl>
    <w:p w14:paraId="2FE19243">
      <w:pPr>
        <w:pStyle w:val="4"/>
        <w:keepNext/>
        <w:pageBreakBefore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3.7 感知与蒸烤阶段联动</w:t>
      </w:r>
    </w:p>
    <w:p w14:paraId="1DC055C5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我把感知分成食品结果、腔体过程和设备状态。腔温探头不能代替食品探针，水位开关也不能代替排水是否顺畅的检查。每个信号都对应明确的控制动作，异常时先停止相关热源或供水，再给出可以执行的操作。</w:t>
      </w:r>
    </w:p>
    <w:p w14:paraId="18075A6A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表11 M1感知点与控制职责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628"/>
      </w:tblGrid>
      <w:tr w14:paraId="5FC01C3E"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B8C02E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信号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38D514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安装与解释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C15C1F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参与的动作</w:t>
            </w:r>
          </w:p>
        </w:tc>
      </w:tr>
      <w:tr w14:paraId="3F57FF80"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075C3C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T1–T4腔温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301544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前后、上下分布，观察热场差异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753D0F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主热源、上下补偿与风机转速</w:t>
            </w:r>
          </w:p>
        </w:tc>
      </w:tr>
      <w:tr w14:paraId="5F6293C8"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43D1DE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Tf食品探针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CEF519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有线三点探针，用户确认插入位置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4365FB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被测食物升温与烹饪终点提示</w:t>
            </w:r>
          </w:p>
        </w:tc>
      </w:tr>
      <w:tr w14:paraId="3DFE9343"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3A84EC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高温氧探头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3220C35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后上方、开口向下、防滴，经温度补偿与标定间接判断水蒸汽状态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E2DB87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供汽、蒸转烤排湿与加热协调</w:t>
            </w:r>
          </w:p>
        </w:tc>
      </w:tr>
      <w:tr w14:paraId="10934CBB"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03679F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门与门温Td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A9F457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门开闭及门体温升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4228E6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停止供汽、运行互锁及取餐提示</w:t>
            </w:r>
          </w:p>
        </w:tc>
      </w:tr>
      <w:tr w14:paraId="7A62B0B8"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16B784E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水盒与漏水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4BE83A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净水称重、废水浮子、盒到位与底部漏水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F20969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限制供水和供汽，提示倒水或检查</w:t>
            </w:r>
          </w:p>
        </w:tc>
      </w:tr>
      <w:tr w14:paraId="439FDEBC"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2E8A38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独立保护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A62E7A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硬件过温及发生器干烧保护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967B63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异常切断相关能量输入</w:t>
            </w:r>
          </w:p>
        </w:tc>
      </w:tr>
    </w:tbl>
    <w:p w14:paraId="0451423D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控湿论文和公开专利提供了用氧信号间接判断水蒸汽状态的思路。我将专用高温探头布置在后上方，开口向下并加防滴结构。该信号需要温度补偿和标定，且会受开门、气体组成和油污影响；异常时退回限时、温度和阀位控制，并停止持续供汽。基础机与加装探头机应分别比较，确认收益是否抵得上维护投入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[14,21,32]</w:t>
      </w:r>
    </w:p>
    <w:p w14:paraId="1579180B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表12 蒸烤切换的联动顺序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025"/>
        <w:gridCol w:w="3912"/>
      </w:tblGrid>
      <w:tr w14:paraId="5FE0E0D0">
        <w:trPr>
          <w:cantSplit/>
          <w:tblHeader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16CB1D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3420AB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热风与供汽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1F1EF"/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5EF56F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排放及屏幕反馈</w:t>
            </w:r>
          </w:p>
        </w:tc>
      </w:tr>
      <w:tr w14:paraId="6FCD69C6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89A929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蒸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4261A0B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反馈供汽，循环配合保湿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E4D580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保留常压排放，显示阶段和补水需求</w:t>
            </w:r>
          </w:p>
        </w:tc>
      </w:tr>
      <w:tr w14:paraId="3EBB682B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6D6F31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蒸转烤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73190D3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先停补汽，再调热源与循环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61251F3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受控排湿，水蒸汽状态与温升共同判断转段</w:t>
            </w:r>
          </w:p>
        </w:tc>
      </w:tr>
      <w:tr w14:paraId="37078363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F12C55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烤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76B457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分区加热，食品与腔温反馈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FF4954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按需排湿，避免持续无效热损失</w:t>
            </w:r>
          </w:p>
        </w:tc>
      </w:tr>
      <w:tr w14:paraId="53A650DE"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5DE4365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取餐前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0B062FF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停热断汽，冷却继续按需运行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2" w:type="dxa"/>
              <w:left w:w="92" w:type="dxa"/>
              <w:bottom w:w="92" w:type="dxa"/>
              <w:right w:w="92" w:type="dxa"/>
            </w:tcMar>
            <w:vAlign w:val="center"/>
          </w:tcPr>
          <w:p w14:paraId="2BEF8BA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先组织余汽排放，再提示缓开门、倒水和清洁</w:t>
            </w:r>
          </w:p>
        </w:tc>
      </w:tr>
    </w:tbl>
    <w:p w14:paraId="300E9660">
      <w:pPr>
        <w:pStyle w:val="5"/>
        <w:keepNext/>
        <w:keepLines/>
        <w:pageBreakBefore w:val="0"/>
        <w:spacing w:before="0" w:after="100" w:line="24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不同模式下的运行路径</w:t>
      </w:r>
    </w:p>
    <w:p w14:paraId="6E4E3012">
      <w:pPr>
        <w:keepNext w:val="0"/>
        <w:keepLines/>
        <w:pageBreakBefore w:val="0"/>
        <w:spacing w:before="0" w:after="4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蓝色表示供水及供汽，橙色表示循环热风，绿色虚线表示气态排放，绿色实线表示液态凝水。四图显示阶段状态与流向关系，不代表流场计算或实测结果。</w:t>
      </w:r>
    </w:p>
    <w:p w14:paraId="2B922A8D">
      <w:pPr>
        <w:keepNext/>
        <w:keepLines/>
        <w:pageBreakBefore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5328000" cy="3334086"/>
            <wp:effectExtent l="0" t="0" r="20320" b="9525"/>
            <wp:docPr id="1027" name="Picture 1027" descr="图13 蒸模式的供汽与保湿路径。蒸模式下，净水经外置发生器转为蒸汽，从低位入口进入炉腔。我按腔温和水汽反馈调节供汽，循环风辅助热量分布，保留常通排放；门槽和坡底把凝水引入废水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 descr="图13 蒸模式的供汽与保湿路径。蒸模式下，净水经外置发生器转为蒸汽，从低位入口进入炉腔。我按腔温和水汽反馈调节供汽，循环风辅助热量分布，保留常通排放；门槽和坡底把凝水引入废水盒。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1F10">
      <w:pPr>
        <w:keepNext/>
        <w:keepLines/>
        <w:pageBreakBefore w:val="0"/>
        <w:spacing w:before="0" w:after="4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 蒸模式的供汽与保湿路径</w:t>
      </w:r>
    </w:p>
    <w:p w14:paraId="327B628F">
      <w:pPr>
        <w:keepNext w:val="0"/>
        <w:keepLines/>
        <w:pageBreakBefore w:val="0"/>
        <w:spacing w:before="0" w:after="4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蒸模式下，净水经外置发生器转为蒸汽，从低位入口进入炉腔。我按腔温和水汽反馈调节供汽，循环风辅助热量分布，保留常通排放；门槽和坡底把凝水引入废水盒。</w:t>
      </w:r>
    </w:p>
    <w:p w14:paraId="1706C6A2">
      <w:pPr>
        <w:keepNext/>
        <w:keepLines/>
        <w:pageBreakBefore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5328000" cy="3334086"/>
            <wp:effectExtent l="0" t="0" r="20320" b="9525"/>
            <wp:docPr id="1028" name="Picture 1028" descr="图14 蒸转烤阶段的受控排湿路径。转入烘烤前，先停止补汽，再开启受控排湿通道，并调整热源与循环。湿汽经间壁冷凝和气液分离后排出，凝水进入废水盒。我结合水汽状态和腔温变化判断何时进入烘烤阶段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 descr="图14 蒸转烤阶段的受控排湿路径。转入烘烤前，先停止补汽，再开启受控排湿通道，并调整热源与循环。湿汽经间壁冷凝和气液分离后排出，凝水进入废水盒。我结合水汽状态和腔温变化判断何时进入烘烤阶段。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481B">
      <w:pPr>
        <w:keepNext/>
        <w:keepLines/>
        <w:pageBreakBefore w:val="0"/>
        <w:spacing w:before="0" w:after="4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 蒸转烤阶段的受控排湿路径</w:t>
      </w:r>
    </w:p>
    <w:p w14:paraId="1290E90A">
      <w:pPr>
        <w:keepNext w:val="0"/>
        <w:keepLines/>
        <w:pageBreakBefore w:val="0"/>
        <w:spacing w:before="0" w:after="4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转入烘烤前先停止补汽，再开启受控排湿通道，并调整热源和循环。部分湿汽经间壁冷凝及气液分离后排出，凝水进入废水盒。转段以标定后的水汽信号及温升条件判断，同时设置最长排湿时限；超时进入异常提示，不以固定动画视为排湿已经完成。</w:t>
      </w:r>
    </w:p>
    <w:p w14:paraId="7CDD051F">
      <w:pPr>
        <w:keepNext/>
        <w:keepLines/>
        <w:pageBreakBefore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5328000" cy="3334086"/>
            <wp:effectExtent l="0" t="0" r="20320" b="9525"/>
            <wp:docPr id="1029" name="Picture 1029" descr="图15 烤模式的循环热风与按需排湿路径。烤模式下，发生器停止供汽，后部回风经过环形热源，再由双侧孔板送向两层烤盘。我利用腔温与食品探针反馈协调加热和风机，排汽阀按需调节，以兼顾食品表面干燥与热量保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 descr="图15 烤模式的循环热风与按需排湿路径。烤模式下，发生器停止供汽，后部回风经过环形热源，再由双侧孔板送向两层烤盘。我利用腔温与食品探针反馈协调加热和风机，排汽阀按需调节，以兼顾食品表面干燥与热量保留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C662">
      <w:pPr>
        <w:keepNext/>
        <w:keepLines/>
        <w:pageBreakBefore w:val="0"/>
        <w:spacing w:before="0" w:after="4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图14 烤模式的循环热风与按需排湿路径</w:t>
      </w:r>
    </w:p>
    <w:p w14:paraId="143D7E2E">
      <w:pPr>
        <w:keepNext w:val="0"/>
        <w:keepLines/>
        <w:pageBreakBefore w:val="0"/>
        <w:spacing w:before="0" w:after="4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烤模式下，发生器停止供汽，后部回风经过环形热源，再由双侧孔板送向两层烤盘。我利用腔温与食品探针反馈协调加热和风机，排汽阀按需调节，以兼顾食品表面干燥与热量保留。</w:t>
      </w:r>
    </w:p>
    <w:p w14:paraId="2B88F881">
      <w:pPr>
        <w:keepNext/>
        <w:keepLines/>
        <w:pageBreakBefore w:val="0"/>
        <w:spacing w:before="0" w:after="40" w:line="240" w:lineRule="auto"/>
        <w:ind w:firstLine="0"/>
        <w:jc w:val="center"/>
      </w:pPr>
      <w:r>
        <w:drawing>
          <wp:inline distT="0" distB="0" distL="114300" distR="114300">
            <wp:extent cx="5328000" cy="3334086"/>
            <wp:effectExtent l="0" t="0" r="20320" b="9525"/>
            <wp:docPr id="1030" name="Picture 1030" descr="图16 取餐前的余汽排放与凝水收集路径。取餐前停止供汽和加热，循环及冷却按需继续运行，并通过受控通道排出余汽、收集凝水。屏幕随后提示缓慢开门和佩戴隔热手套，提醒门体、托盘与食物仍热，取餐后再引导倒水和清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 descr="图16 取餐前的余汽排放与凝水收集路径。取餐前停止供汽和加热，循环及冷却按需继续运行，并通过受控通道排出余汽、收集凝水。屏幕随后提示缓慢开门和佩戴隔热手套，提醒门体、托盘与食物仍热，取餐后再引导倒水和清洁。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F323">
      <w:pPr>
        <w:keepNext/>
        <w:keepLines/>
        <w:pageBreakBefore w:val="0"/>
        <w:spacing w:before="0" w:after="40" w:line="240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图15 取餐前的余汽排放与凝水收集路径</w:t>
      </w:r>
    </w:p>
    <w:p w14:paraId="23D870D5">
      <w:pPr>
        <w:keepNext w:val="0"/>
        <w:keepLines/>
        <w:pageBreakBefore w:val="0"/>
        <w:spacing w:before="0" w:after="4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取餐前停止供汽和加热，循环及冷却按需继续运行，并通过受控通道排出余汽、收集凝水。屏幕随后提示缓慢开门和佩戴隔热手套，提醒门体、托盘与食物仍热，取餐后再引导倒水和清洁。</w:t>
      </w:r>
    </w:p>
    <w:p w14:paraId="2FC5C42C">
      <w:pPr>
        <w:pStyle w:val="4"/>
        <w:keepNext/>
        <w:pageBreakBefore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3.8 任务式界面与网页展示</w:t>
      </w:r>
    </w:p>
    <w:p w14:paraId="1DE8C4AB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操作从“今天做什么”开始，再确认食品类别、份量、双层或单层装载、器皿、温度、时间及烹饪终点。使用食品探针时还要标明探针在哪一层；一个探针不能代表两盘食品。运行中保留停止入口，缺水、废水盒满或门未关好时暂停相应热源与供汽，说明恢复条件，结束后再引导排汽、取餐和维护。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[1,2]</w:t>
      </w:r>
    </w:p>
    <w:p w14:paraId="14FBB758">
      <w:pPr>
        <w:keepNext/>
        <w:spacing w:after="0"/>
        <w:ind w:firstLine="0"/>
        <w:jc w:val="center"/>
      </w:pPr>
      <w:r>
        <w:drawing>
          <wp:inline distT="0" distB="0" distL="114300" distR="114300">
            <wp:extent cx="5328000" cy="4791965"/>
            <wp:effectExtent l="0" t="0" r="1016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7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2E0E">
      <w:pPr>
        <w:spacing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图16 项目网页的蒸转烤演示。任务、设定参数与排湿状态共同显示，并保留停止与异常处理入口。</w:t>
      </w:r>
    </w:p>
    <w:p w14:paraId="67F9045E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网页使用同一任务状态保存参数、运行阶段和异常信息。预览时可以切换四幅模式图；完整任务启动后，左侧由右侧流程推进，避免“蒸任务”配上“烤图”的矛盾。蒸转烤依次经过蒸、排湿和烤；表单更改即时保留，取餐页也不会通过返回按钮重新启动加热。手机端另提供模式图放大入口。读者可将图12—15与屏幕状态逐项对照。</w:t>
      </w:r>
    </w:p>
    <w:p w14:paraId="74AFFB46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报告负责完整解释为什么这样设计，网页则让读者按兴趣放大结构图、比较产品并追溯来源。两者共用M1图示、参数和术语，让文字论证与交互展示保持一致。</w:t>
      </w:r>
    </w:p>
    <w:p w14:paraId="6CB39C9C">
      <w:pPr>
        <w:pStyle w:val="4"/>
        <w:keepNext/>
        <w:pageBreakBefore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3.9 整机预算 成本取舍与验证</w:t>
      </w:r>
    </w:p>
    <w:p w14:paraId="432E32F3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先用功率、空间和水量检查方案是否互相冲突，再讨论成本。以下为选型与调度的工程假设，作为样机开发输入；材料性能与商品配置来自前述资料，整机性能尚需比较。零售价格用于理解市场，不直接换算制造成本。</w:t>
      </w:r>
    </w:p>
    <w:p>
      <w:pPr>
        <w:keepNext/>
        <w:spacing w:line="240" w:lineRule="auto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表13 初步整机预算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51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初步分配或计算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需要检查的关系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同时用电≤3.0 kW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拟选发生器1.4、环形热源1.8、上下补偿各0.4、辅助0.1 kW。蒸例1.4+1.2+0.1=2.7；烤例1.8+0.4+0.4+0.1=2.7 kW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元件额定功率之和超过上限，由功率调度逐周期限制；还需计入启动、电压及控制误差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595×560×455 mm外形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宽度先扣除430 mm盘区和左右各20 mm保温，余125 mm留给壁板、风道、支撑及装配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托盘不等于腔体净宽，余量还需分配取放间隙；深度与高度必须进一步完成三维布置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净水1.2 L</w:t>
              <w:br/>
              <w:t>废水0.8 L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每分钟凝水10 g约需376 W潜热散热；30 min约0.3 L凝水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还需计入其他回水及余量；不能把全部供水假定为冷凝水，亦不能忽略排向环境的蒸汽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内玻璃与边框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 mm边长、200 K升温，热伸长差约1.10 mm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每边2 mm仅为初始间隙，结合公差、温差及开合载荷重新确定</w:t>
            </w:r>
          </w:p>
        </w:tc>
      </w:tr>
    </w:tbl>
    <w:p>
      <w:pPr>
        <w:spacing w:line="240" w:lineRule="auto" w:after="10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成本先区分基础方案和进阶配置。基础方案保留送风、分路排水、门体装配与必要互锁；专用高温氧探头、低膨胀内片及紧凑冷凝总成分别询价后再决定配置。既有工程试算中，按1000台规模，两点温度采集约50–120元/台、门面探头及导流25–70元/台、低温积水检测15–45元/台、可拆导流件20–50元/台，合计110–285元/台。该区间仅覆盖这四类增量硬件及装配假设，不是M1整机BOM，也不包含氧探头、玻璃升级、完整冷凝总成、开模、软件、认证和售后。</w:t>
      </w:r>
    </w:p>
    <w:p w14:paraId="00584855">
      <w:pPr>
        <w:spacing w:line="24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我把下一步验证安排为下表。先探索结构是否有效，再增加样本和耐久工况；每组3次用于发现稳定趋势与明显问题，不据此给出量产可靠性结论。食品、器皿、进水和烹饪终点需记录并保持可比。</w:t>
      </w:r>
    </w:p>
    <w:p>
      <w:pPr>
        <w:keepNext/>
        <w:spacing w:line="240" w:lineRule="auto" w:after="10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表14 拟开展的样机与用户任务比较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515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比较问题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负载与步骤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9EDE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记录指标和判断方法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空间与均匀性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平顶/浅拱×等孔/渐变孔板共4组合，各3次；同风机、热源、烤盘。先180°C、两层等质量替代负载，稳定后测温；再用同厚同质量食品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独立9点温度阵列记录各点均值和极差；记录食品中心温度、标准光照上色差及耗电。先比较结构主效应，不能只看控制器自己的4探头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蒸转烤与清理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固定开度与受控排汽各3次；同进水量、食材质量、蒸制过程和最终中心温度/上色要求；烹饪后同一清理流程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称腔底、门槽残水和废水；记录转段及清理用时、kWh与出口温湿。若排湿更快但耗电或清理增加，应重新选择阀策略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门体与感知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门体做边缘质量、支承、公差和热循环比较；探头以干燥、冷凝、油污及开门扰动条件标定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记录门表温、玻璃/密封变化、信号偏差及恢复时间。独立硬件保护和旁路另做故障工况；安全指标按适用标准及实验室条件确认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操作与异常恢复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拟邀请8名新手，自愿完成双层设定、缺水恢复、停止取餐和倒水维护；与模式列表界面交叉比较并平衡顺序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记录成功率、用时、求助和严重错误，追问误解原因。人数用于可用性探索，不代表全部消费者</w:t>
            </w:r>
          </w:p>
        </w:tc>
      </w:tr>
    </w:tbl>
    <w:p w14:paraId="2D2A5197">
      <w:pPr>
        <w:keepLines/>
        <w:spacing w:after="80" w:line="240" w:lineRule="auto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从最初的玻璃窑造型出发，我最终将方案收敛到两层装载、水汽收尾和门体操作三条主线。浅拱、孔板、材料和传感器各自承担明确任务，也各有成本和维护代价。M1是否值得继续开发，取决于这些选择能否在相同装载与食品终点下减少换层、擦水和操作错误；下一步将按上述比较结果保留有效部分，并删去收益不足的配置。</w:t>
      </w:r>
    </w:p>
    <w:p w14:paraId="01506930">
      <w:pPr>
        <w:pStyle w:val="3"/>
        <w:keepNext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AI使用原则</w:t>
      </w:r>
    </w:p>
    <w:p w14:paraId="60915DEA">
      <w:pPr>
        <w:keepLines/>
        <w:spacing w:after="80" w:line="240" w:lineRule="auto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我的原则是将AI作为资料智库，利用其读取、检索和归纳已有信息的能力，完成较大范围的资料搜集，为我节省时间。具体的问题发现、设计目标和解决方案由我独立思考与取舍，并由我对最终论证负责。AI辅助资料整理、文字润色、图示绘制和网页制作；引用、数据与技术判断仍回到原始来源核对。</w:t>
      </w:r>
    </w:p>
    <w:p w14:paraId="652B76AD">
      <w:pPr>
        <w:spacing w:line="240" w:lineRule="auto"/>
        <w:jc w:val="both"/>
        <w:rPr>
          <w:rFonts w:ascii="Times New Roman" w:hAnsi="Times New Roman" w:eastAsia="宋体"/>
          <w:b w:val="0"/>
          <w:color w:val="000000"/>
          <w:sz w:val="24"/>
        </w:rPr>
      </w:pPr>
    </w:p>
    <w:p>
      <w:pPr>
        <w:pStyle w:val="4"/>
        <w:keepNext/>
        <w:spacing w:line="240" w:lineRule="auto" w:after="100" w:before="1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资料范围索引</w:t>
      </w:r>
    </w:p>
    <w:p>
      <w:pPr>
        <w:spacing w:line="240" w:lineRule="auto" w:after="100"/>
        <w:ind w:firstLine="480"/>
      </w:pPr>
      <w:r>
        <w:rPr>
          <w:rFonts w:ascii="Times New Roman" w:hAnsi="Times New Roman" w:eastAsia="宋体"/>
          <w:b w:val="0"/>
          <w:color w:val="000000"/>
          <w:sz w:val="21"/>
        </w:rPr>
        <w:t>完整的17份文献和28份专利公开文本列于项目网页“资料索引”。前期25份中国文本按3对A/B公开阶段归并为22项，另补3件国外工程参照，共25项申请或设计。正文参考文献按实际引用列出，既不把行业报道计为实验论文，也不把专利公开阶段重复计作新技术。</w:t>
      </w:r>
    </w:p>
    <w:p>
      <w:pPr>
        <w:spacing w:line="240" w:lineRule="auto" w:after="100"/>
        <w:ind w:firstLine="480"/>
      </w:pPr>
      <w:r>
        <w:rPr>
          <w:rFonts w:ascii="Times New Roman" w:hAnsi="Times New Roman" w:eastAsia="宋体"/>
          <w:b w:val="0"/>
          <w:color w:val="000000"/>
          <w:sz w:val="21"/>
        </w:rPr>
        <w:t>https://18250843386-cpu.github.io/steam-oven-m1/research-index.html</w:t>
      </w:r>
    </w:p>
    <w:p w14:paraId="5E723B34">
      <w:pPr>
        <w:pStyle w:val="3"/>
        <w:keepNext/>
        <w:pageBreakBefore/>
        <w:spacing w:before="280"/>
        <w:ind w:firstLine="0"/>
      </w:pPr>
      <w:r>
        <w:rPr>
          <w:rFonts w:ascii="Times New Roman" w:hAnsi="Times New Roman" w:eastAsia="宋体"/>
          <w:b/>
          <w:color w:val="000000"/>
          <w:sz w:val="28"/>
        </w:rPr>
        <w:t>参考文献</w:t>
      </w:r>
    </w:p>
    <w:p w14:paraId="4B410633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[1] 殷佳宁. 基于Kano-QFD理论的智能厨电界面设计研究[D]. 杭州电子科技大学硕士学位论文, 2023.</w:t>
      </w:r>
    </w:p>
    <w:p w14:paraId="46C325C3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[2] 严慧. 面向老年人智能厨电产品的引导设计研究[D]. 江苏大学硕士学位论文, 2023.</w:t>
      </w:r>
    </w:p>
    <w:p w14:paraId="279D44A6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[3] 桑雪骐. 微蒸烤一体机难统江湖[N]. 中国消费者报, 2018-05-24(07).</w:t>
      </w:r>
    </w:p>
    <w:p w14:paraId="0B4EFA30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[4] 黑猫投诉平台. 凯度产品存在缺陷, 商家拒不承认, 客服敷衍处理[EB/OL]. https://tousu.sina.com.cn/complaint/view/17372218002/, 2024-03-28, 访问日期: 2026-10-12.</w:t>
      </w:r>
    </w:p>
    <w:p w14:paraId="7ACBD6B4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[5] 西门子家电. CS0T5MAB2W产品规格表[EB/OL]. https://media3.bsh-group.com/Documents/specsheet/zh-CN/CS0T5MAB2W.pdf, 访问日期: 2026-10-11.</w:t>
      </w:r>
    </w:p>
    <w:p w14:paraId="6274F76B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[6] 松下电器. NU-SC211W使用说明书[EB/OL]. https://home.panasonic.cn/support/attachments/auld/manual/NU-SC211W.pdf, 访问日期: 2026-10-11.</w:t>
      </w:r>
    </w:p>
    <w:p w14:paraId="33916E0A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[7] 东芝家用电器. ER-YD95CNW使用说明书[EB/OL]. https://dsdcp.smartmidea.net/mcsp/prod/20240910/583fba8d40864b7cb752e348aa89f042.pdf, 访问日期: 2026-10-11.</w:t>
      </w:r>
    </w:p>
    <w:p w14:paraId="4AFDE57D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[8] 罗淦恩, 高宁, 刘明雄, 等. 基于人工神经网络的蒸烤一体机温场预测算法研究[C]. 2021年中国家用电器技术大会论文集, 2021: 1274-1280.</w:t>
      </w:r>
    </w:p>
    <w:p w14:paraId="2AB0C084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[9] 张伟峰, 罗成忠, 沈斌, 等. 蒸烤一体机叶轮优化[J]. 轻工科技, 2026, 42(2): 73-78.</w:t>
      </w:r>
    </w:p>
    <w:p w14:paraId="6CA1622A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[10] 中山佳威路家用电器有限公司. 一种具有门玻璃除雾及防挂水滴功能的蒸烤设备[P]. 中国: CN108836103B, 2023-12-26.</w:t>
      </w:r>
    </w:p>
    <w:p w14:paraId="309085EB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[11] 白伟, 马雄, 宗文超, 等. 关于某型号蒸烤一体机运行过程中玻璃门爆裂问题的研究与分析[J]. 日用电器, 2023(2): 74-77, 83.</w:t>
      </w:r>
    </w:p>
    <w:p w14:paraId="74D117E8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[12] 珠海格力电器股份有限公司. 烤箱门及具有其的烤箱[P]. 中国: CN212186239U, 2020-12-22.</w:t>
      </w:r>
    </w:p>
    <w:p w14:paraId="7BBCA64E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[13] 杭州老板电器股份有限公司. 供排水系统及蒸汽烹饪装置[P]. 中国: CN209136182U, 2019-07-23.</w:t>
      </w:r>
    </w:p>
    <w:p w14:paraId="13BDA2EC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[14] 麦伟添, 罗淦恩. 控湿技术在蒸烤一体机的研究及应用[C]. 2022年中国家用电器技术大会论文集, 2022: 1689-1695.</w:t>
      </w:r>
    </w:p>
    <w:p w14:paraId="061EB67C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[15] 美的京东自营旗舰店. 美的SX5商品信息与评价[EB/OL]. https://item.jd.com/100088782955.html, 访问日期: 2026-10-11.</w:t>
      </w:r>
    </w:p>
    <w:p w14:paraId="448218A5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[16] 苏泊尔厨卫京东自营旗舰店. ZKQD60-Q-DY78商品信息[EB/OL]. https://item.jd.com/100285546212.html, 访问日期: 2026-10-11.</w:t>
      </w:r>
    </w:p>
    <w:p w14:paraId="6AC56DAC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[17] 西门子家电京东自营旗舰店. CS0T5MAB2W商品信息[EB/OL]. https://item.jd.com/100119103287.html, 访问日期: 2026-10-11.</w:t>
      </w:r>
    </w:p>
    <w:p w14:paraId="3F142D9A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[18] 松下电器. NU-SC211W产品介绍[EB/OL]. https://consumer.panasonic.cn/product/cooking-appliances/microwave-ovens/micro-steaming-roast/nu-sc211w.html, 访问日期: 2026-10-11.</w:t>
      </w:r>
    </w:p>
    <w:p w14:paraId="6A39D7B3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[19] 宁波方太厨具有限公司. YZK32-01-A1.i产品介绍视频[EB/OL]. https://hsadmin.fotile.com/h5happylife/video/detail.html?id=17811, 访问日期: 2026-10-11.</w:t>
      </w:r>
    </w:p>
    <w:p w14:paraId="21693265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[20] 广东美的厨房电器制造有限公司, 美的集团股份有限公司. 微蒸烤一体机的烹饪控制方法、装置和微蒸烤一体机[P]. 中国: CN109008592B, 2021-06-18.</w:t>
      </w:r>
    </w:p>
    <w:p w14:paraId="53302342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[21] 华帝股份有限公司. 一种蒸汽烹饪装置及湿度控制方法[P]. 中国: CN112043154B, 2021-05-18.</w:t>
      </w:r>
    </w:p>
    <w:p w14:paraId="43AD35BC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[22] 浙江苏泊尔厨卫电器有限公司. 嵌入式烤箱[P]. 中国: CN218588848U, 2023-03-10.</w:t>
      </w:r>
    </w:p>
    <w:p w14:paraId="42801AB4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[23] 宁波方太厨具有限公司. 一种用于蒸烤烹饪设备的排气结构及蒸烤一体机[P]. 中国: CN112294099B, 2021-10-26.</w:t>
      </w:r>
    </w:p>
    <w:p w14:paraId="0AC26221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[24] Premark FEG LLC. Oven Air Flow Arrangement[P]. 美国: US20110083657A1, 2011-04-14. https://patents.google.com/patent/US20110083657A1/en.</w:t>
      </w:r>
    </w:p>
    <w:p w14:paraId="27ECAE1B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[25] Miele. DGC 7875 Compact Combi-Steam Oven XL[EB/OL]. https://www.mieleusa.com/product/11876050/30-compact-combi-steam-oven-xl-with-directwater-plus-dgc-7875-stainless-steel-clean-touch-steel, 访问日期: 2026-10-24.</w:t>
      </w:r>
    </w:p>
    <w:p w14:paraId="50AE8AFB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[26] Retech Spółka z Ograniczoną Odpowiedzialnością. Hood with Condenser for Commercial Oven, Particularly Combination Steam-Convection Oven[P]. 美国: US20220132867A1, 2022-05-05. https://patents.google.com/patent/US20220132867A1/en.</w:t>
      </w:r>
    </w:p>
    <w:p w14:paraId="01EB007F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[27] SCHOTT. BOROFLOAT 33: Technical Data[EB/OL]. https://www.schott.com/-/media/project/onex/products/b/borofloat/downloads/schott-borofloat-technical-data-sheet-english-26032019.pdf?rev=aa66d15af04a4ce7994f5e7699350364, 访问日期: 2026-10-24.</w:t>
      </w:r>
    </w:p>
    <w:p w14:paraId="44166D82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[28] SCHOTT. ROBAX: Installation and Application Guidance[EB/OL]. https://www.schott.com/en-us/products/robax, 访问日期: 2026-10-24.</w:t>
      </w:r>
    </w:p>
    <w:p w14:paraId="59D8F847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[29] Outokumpu. Supra Range: Supra 316L/4404[EB/OL]. https://www.outokumpu.com/en/products/product-ranges/supra, 访问日期: 2026-10-24.</w:t>
      </w:r>
    </w:p>
    <w:p w14:paraId="698361B9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[30] Outokumpu. Core Stainless Steel Range: Core 304/4301[EB/OL]. https://www.outokumpu.com/en/products/product-ranges/core, 访问日期: 2026-10-24.</w:t>
      </w:r>
    </w:p>
    <w:p w14:paraId="03464D52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[31] Promat. MICROTHERM PANEL: Technical Data Sheet[EB/OL]. https://www.promat.com/siteassets/industry/downloads/technical-data-sheets-tds/microporous/eng/promat-microtherm-panel-product-data-sheet.pdf?v=49cc93, 访问日期: 2026-10-24.</w:t>
      </w:r>
    </w:p>
    <w:p w14:paraId="2EF90AC7">
      <w:pPr>
        <w:keepLines/>
        <w:spacing w:after="80" w:line="240" w:lineRule="auto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[32] BSH Bosch und Siemens Hausgeräte GmbH. Oven with Humidity Sensor and Air Management System[P]. 德国: DE102013214848A1, 2015-02-05. https://patents.google.com/patent/DE102013214848A1/en.</w:t>
      </w:r>
    </w:p>
    <w:p>
      <w:pPr>
        <w:keepLines/>
        <w:spacing w:line="240" w:lineRule="auto" w:after="80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[33] 陕西科技大学. 一种玻璃窑炉蓄热室格子砖[P]. 中国: CN205501105U, 2016-08-24.</w:t>
      </w:r>
    </w:p>
    <w:p>
      <w:pPr>
        <w:keepLines/>
        <w:spacing w:line="240" w:lineRule="auto" w:after="80"/>
        <w:ind w:left="400" w:hanging="400"/>
      </w:pPr>
      <w:r>
        <w:rPr>
          <w:rFonts w:ascii="Times New Roman" w:hAnsi="Times New Roman" w:eastAsia="宋体"/>
          <w:b w:val="0"/>
          <w:color w:val="000000"/>
          <w:sz w:val="21"/>
        </w:rPr>
        <w:t>[34] 北京创导高科绝热材料有限公司. 玻璃窑用绝热结构件生产方法及其绝热结构件[P]. 中国: CN101519268A, 2009-09-02.</w:t>
      </w:r>
    </w:p>
    <w:sectPr>
      <w:headerReference r:id="rId5" w:type="default"/>
      <w:footerReference r:id="rId6" w:type="default"/>
      <w:pgSz w:w="11906" w:h="16838"/>
      <w:pgMar w:top="1077" w:right="1304" w:bottom="1134" w:left="1304" w:header="454" w:footer="45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0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6CE69">
    <w:pPr>
      <w:pStyle w:val="24"/>
      <w:ind w:firstLine="0"/>
      <w:jc w:val="both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7C42CE">
                          <w:pPr>
                            <w:pStyle w:val="24"/>
                            <w:ind w:firstLine="0"/>
                            <w:jc w:val="both"/>
                          </w:pPr>
                          <w:r>
                            <w:rPr>
                              <w:rFonts w:ascii="Times New Roman" w:hAnsi="Times New Roman" w:eastAsia="宋体"/>
                              <w:b w:val="0"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PAGE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hwhgL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iHCGA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7C42CE">
                    <w:pPr>
                      <w:pStyle w:val="24"/>
                      <w:ind w:firstLine="0"/>
                      <w:jc w:val="both"/>
                    </w:pPr>
                    <w:r>
                      <w:rPr>
                        <w:rFonts w:ascii="Times New Roman" w:hAnsi="Times New Roman" w:eastAsia="宋体"/>
                        <w:b w:val="0"/>
                        <w:color w:val="000000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PAGE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960EC">
    <w:pPr>
      <w:pStyle w:val="25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502AE"/>
    <w:rsid w:val="7DCFA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100" w:line="240" w:lineRule="auto"/>
      <w:ind w:firstLine="48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napToGrid w:val="0"/>
      <w:spacing w:before="200" w:after="100" w:line="240" w:lineRule="auto"/>
      <w:outlineLvl w:val="0"/>
    </w:pPr>
    <w:rPr>
      <w:rFonts w:ascii="Times New Roman" w:hAnsi="Times New Roman" w:eastAsia="宋体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napToGrid w:val="0"/>
      <w:spacing w:before="200" w:after="100" w:line="240" w:lineRule="auto"/>
      <w:outlineLvl w:val="1"/>
    </w:pPr>
    <w:rPr>
      <w:rFonts w:ascii="Times New Roman" w:hAnsi="Times New Roman" w:eastAsia="宋体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napToGrid w:val="0"/>
      <w:spacing w:before="200" w:after="100" w:line="240" w:lineRule="auto"/>
      <w:outlineLvl w:val="2"/>
    </w:pPr>
    <w:rPr>
      <w:rFonts w:ascii="Times New Roman" w:hAnsi="Times New Roman" w:eastAsia="宋体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snapToGrid w:val="0"/>
      <w:spacing w:after="0" w:line="240" w:lineRule="auto"/>
      <w:contextualSpacing/>
    </w:pPr>
    <w:rPr>
      <w:rFonts w:ascii="Times New Roman" w:hAnsi="Times New Roman" w:eastAsia="宋体" w:cstheme="majorBidi"/>
      <w:color w:val="000000"/>
      <w:spacing w:val="5"/>
      <w:kern w:val="28"/>
      <w:sz w:val="21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jpe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东北大学</Company>
  <Pages>20</Pages>
  <Words>8340</Words>
  <Characters>11624</Characters>
  <Lines>0</Lines>
  <Paragraphs>0</Paragraphs>
  <TotalTime>5</TotalTime>
  <ScaleCrop>false</ScaleCrop>
  <LinksUpToDate>false</LinksUpToDate>
  <CharactersWithSpaces>11960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朱宇泽</dc:creator>
  <cp:lastModifiedBy>Handsome_Lionel</cp:lastModifiedBy>
  <dcterms:modified xsi:type="dcterms:W3CDTF">2026-10-25T15:46:28Z</dcterms:modified>
  <dc:subject>现代化信息感知课程报告</dc:subject>
  <dc:title>一餐之间——M1蒸烤一体机设计研究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C546E0331DE0B5DF1591DD6A0DB34614_42</vt:lpwstr>
  </property>
</Properties>
</file>