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0"/>
        </w:rPr>
        <w:t>{{ competition_year }}{{ competition_region }}职业院校技能大赛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教学能力比赛</w:t>
      </w:r>
    </w:p>
    <w:p/>
    <w:p/>
    <w:p>
      <w:pPr>
        <w:jc w:val="center"/>
      </w:pPr>
      <w:r>
        <w:rPr>
          <w:rFonts w:ascii="宋体" w:hAnsi="宋体" w:eastAsia="宋体"/>
          <w:b/>
          <w:sz w:val="72"/>
        </w:rPr>
        <w:t>教 学 实 施 报 告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4"/>
              </w:rPr>
              <w:t>作品名称：</w:t>
            </w:r>
          </w:p>
        </w:tc>
        <w:tc>
          <w:tcPr>
            <w:tcW w:type="dxa" w:w="6236"/>
          </w:tcPr>
          <w:p>
            <w:r>
              <w:t>{{ work_name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课程名称：</w:t>
            </w:r>
          </w:p>
        </w:tc>
        <w:tc>
          <w:tcPr>
            <w:tcW w:type="dxa" w:w="6236"/>
          </w:tcPr>
          <w:p>
            <w:r>
              <w:t>{{ course_name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专业大类：</w:t>
            </w:r>
          </w:p>
        </w:tc>
        <w:tc>
          <w:tcPr>
            <w:tcW w:type="dxa" w:w="6236"/>
          </w:tcPr>
          <w:p>
            <w:r>
              <w:t>{{ major_category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参赛组别：</w:t>
            </w:r>
          </w:p>
        </w:tc>
        <w:tc>
          <w:tcPr>
            <w:tcW w:type="dxa" w:w="6236"/>
          </w:tcPr>
          <w:p>
            <w:r>
              <w:t>{{ group_name }}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40"/>
        </w:rPr>
        <w:t>{{ course_name }}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教学实施报告</w:t>
      </w:r>
    </w:p>
    <w:p/>
    <w:p>
      <w:pPr>
        <w:ind w:firstLine="420"/>
      </w:pPr>
      <w:r>
        <w:rPr>
          <w:rFonts w:ascii="宋体" w:hAnsi="宋体" w:eastAsia="宋体"/>
          <w:b w:val="0"/>
          <w:sz w:val="22"/>
        </w:rPr>
        <w:t>{{ intro_summary }}</w:t>
      </w:r>
    </w:p>
    <w:p/>
    <w:p>
      <w:pPr>
        <w:jc w:val="left"/>
      </w:pPr>
      <w:r>
        <w:rPr>
          <w:rFonts w:ascii="黑体" w:hAnsi="黑体" w:eastAsia="黑体"/>
          <w:b/>
          <w:sz w:val="36"/>
        </w:rPr>
        <w:t>一、整体教学设计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(一) 教学内容分析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content_analysis }}</w:t>
      </w:r>
    </w:p>
    <w:p>
      <w:r>
        <w:rPr>
          <w:rFonts w:ascii="宋体" w:hAnsi="宋体" w:eastAsia="宋体"/>
          <w:b w:val="0"/>
          <w:sz w:val="22"/>
        </w:rPr>
        <w:t>【图 1:教学内容模块图】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(二) 学情分析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student_analysis }}</w:t>
      </w:r>
    </w:p>
    <w:p>
      <w:r>
        <w:rPr>
          <w:rFonts w:ascii="宋体" w:hAnsi="宋体" w:eastAsia="宋体"/>
          <w:b w:val="0"/>
          <w:sz w:val="22"/>
        </w:rPr>
        <w:t>【图 2:学情分析模块图】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(三) 教学目标与重难点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teaching_objectives }}</w:t>
      </w:r>
    </w:p>
    <w:p>
      <w:r>
        <w:rPr>
          <w:rFonts w:ascii="宋体" w:hAnsi="宋体" w:eastAsia="宋体"/>
          <w:b w:val="0"/>
          <w:sz w:val="22"/>
        </w:rPr>
        <w:t>【图 3:教学目标与重难点模块图】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(四) 教学策略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teaching_strategy }}</w:t>
      </w:r>
    </w:p>
    <w:p>
      <w:r>
        <w:rPr>
          <w:rFonts w:ascii="宋体" w:hAnsi="宋体" w:eastAsia="宋体"/>
          <w:b w:val="0"/>
          <w:sz w:val="22"/>
        </w:rPr>
        <w:t>【图 4:教学策略模块图】</w:t>
      </w:r>
    </w:p>
    <w:p/>
    <w:p>
      <w:pPr>
        <w:jc w:val="left"/>
      </w:pPr>
      <w:r>
        <w:rPr>
          <w:rFonts w:ascii="黑体" w:hAnsi="黑体" w:eastAsia="黑体"/>
          <w:b/>
          <w:sz w:val="36"/>
        </w:rPr>
        <w:t>二、教学实施过程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(一) 实施过程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EEAF6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  <w:shd w:fill="DEEAF6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  <w:shd w:fill="DEEAF6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{%tr for stage in implementation_stages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stage.stage }}</w:t>
            </w:r>
          </w:p>
        </w:tc>
        <w:tc>
          <w:tcPr>
            <w:tcW w:type="dxa" w:w="2880"/>
          </w:tcPr>
          <w:p>
            <w:r>
              <w:t>{{ stage.task }}</w:t>
            </w:r>
          </w:p>
        </w:tc>
        <w:tc>
          <w:tcPr>
            <w:tcW w:type="dxa" w:w="2880"/>
          </w:tcPr>
          <w:p>
            <w:r>
              <w:t>{{ stage.effect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(二) 混合式教学实施改进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blended_teaching_improvement }}</w:t>
      </w:r>
    </w:p>
    <w:p>
      <w:r>
        <w:rPr>
          <w:rFonts w:ascii="宋体" w:hAnsi="宋体" w:eastAsia="宋体"/>
          <w:b w:val="0"/>
          <w:sz w:val="22"/>
        </w:rPr>
        <w:t>【图 5:混合式教学模块图】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(三) 多元的评价方式</w:t>
      </w:r>
    </w:p>
    <w:p>
      <w:r>
        <w:rPr>
          <w:rFonts w:ascii="宋体" w:hAnsi="宋体" w:eastAsia="宋体"/>
          <w:b/>
          <w:sz w:val="22"/>
        </w:rPr>
        <w:t>1. 学生评价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evaluation.student_evaluation }}</w:t>
      </w:r>
    </w:p>
    <w:p/>
    <w:p>
      <w:r>
        <w:rPr>
          <w:rFonts w:ascii="宋体" w:hAnsi="宋体" w:eastAsia="宋体"/>
          <w:b/>
          <w:sz w:val="22"/>
        </w:rPr>
        <w:t>2. 教师评价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evaluation.teacher_evaluation }}</w:t>
      </w:r>
    </w:p>
    <w:p/>
    <w:p>
      <w:r>
        <w:rPr>
          <w:rFonts w:ascii="宋体" w:hAnsi="宋体" w:eastAsia="宋体"/>
          <w:b/>
          <w:sz w:val="22"/>
        </w:rPr>
        <w:t>3. 企业评价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evaluation.enterprise_evaluation }}</w:t>
      </w:r>
    </w:p>
    <w:p/>
    <w:p>
      <w:pPr>
        <w:jc w:val="left"/>
      </w:pPr>
      <w:r>
        <w:rPr>
          <w:rFonts w:ascii="黑体" w:hAnsi="黑体" w:eastAsia="黑体"/>
          <w:b/>
          <w:sz w:val="36"/>
        </w:rPr>
        <w:t>三、学生学习效果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(一) 课前学习和拓展学习数量提高,提升学习兴趣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learning_effect.pre_class_improvement }}</w:t>
      </w:r>
    </w:p>
    <w:p>
      <w:r>
        <w:rPr>
          <w:rFonts w:ascii="宋体" w:hAnsi="宋体" w:eastAsia="宋体"/>
          <w:b w:val="0"/>
          <w:sz w:val="22"/>
        </w:rPr>
        <w:t>【图 6:课前学习数据图】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(二) 课中教学和项目实践质量提高,达成教学目标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learning_effect.in_class_improvement }}</w:t>
      </w:r>
    </w:p>
    <w:p>
      <w:r>
        <w:rPr>
          <w:rFonts w:ascii="宋体" w:hAnsi="宋体" w:eastAsia="宋体"/>
          <w:b w:val="0"/>
          <w:sz w:val="22"/>
        </w:rPr>
        <w:t>【图 7:学生实践完成情况】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(三) 取证比例和职业竞赛成绩提高,加强实践能力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learning_effect.certification_competition }}</w:t>
      </w:r>
    </w:p>
    <w:p>
      <w:r>
        <w:rPr>
          <w:rFonts w:ascii="宋体" w:hAnsi="宋体" w:eastAsia="宋体"/>
          <w:b w:val="0"/>
          <w:sz w:val="22"/>
        </w:rPr>
        <w:t>【图 8:取证及竞赛成绩图】</w:t>
      </w:r>
    </w:p>
    <w:p/>
    <w:p>
      <w:pPr>
        <w:jc w:val="left"/>
      </w:pPr>
      <w:r>
        <w:rPr>
          <w:rFonts w:ascii="黑体" w:hAnsi="黑体" w:eastAsia="黑体"/>
          <w:b/>
          <w:sz w:val="36"/>
        </w:rPr>
        <w:t>四、教学反思与改进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(一) 特色创新</w:t>
      </w:r>
    </w:p>
    <w:p>
      <w:r>
        <w:t>{%p for f in reflection.feature_innovations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特色 {{ loop.index }}:{{ f }}</w:t>
      </w:r>
    </w:p>
    <w:p>
      <w:r>
        <w:t>{%p endfor %}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(二) 不足</w:t>
      </w:r>
    </w:p>
    <w:p>
      <w:r>
        <w:t>{%p for s in reflection.shortcomings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反思 {{ loop.index }}:{{ s }}</w:t>
      </w:r>
    </w:p>
    <w:p>
      <w:r>
        <w:t>{%p endfor %}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(三) 改进措施</w:t>
      </w:r>
    </w:p>
    <w:p>
      <w:r>
        <w:t>{%p for m in reflection.improvement_measures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措施 {{ loop.index }}:{{ m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