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Verbale del Consiglio di Amministrazione</w:t>
      </w:r>
    </w:p>
    <w:p>
      <w:r>
        <w:t>Lumen S.r.l. — seduta ordinaria n. 4 dell'esercizio 2026, tenutasi presso la sede legale di Milano, via Vittor Pisani 12.</w:t>
      </w:r>
    </w:p>
    <w:p>
      <w:pPr>
        <w:pStyle w:val="Heading2"/>
      </w:pPr>
      <w:r>
        <w:t>Presenti</w:t>
      </w:r>
    </w:p>
    <w:p>
      <w:pPr>
        <w:pStyle w:val="ListBullet"/>
      </w:pPr>
      <w:r>
        <w:t>Elena Sartori — Presidente del Consiglio di Amministrazione</w:t>
      </w:r>
    </w:p>
    <w:p>
      <w:pPr>
        <w:pStyle w:val="ListBullet"/>
      </w:pPr>
      <w:r>
        <w:t>Marco Deidda — Amministratore Delegato</w:t>
      </w:r>
    </w:p>
    <w:p>
      <w:pPr>
        <w:pStyle w:val="ListBullet"/>
      </w:pPr>
      <w:r>
        <w:t>Chiara Bonelli — Consigliere, delega a prodotto e qualità</w:t>
      </w:r>
    </w:p>
    <w:p>
      <w:pPr>
        <w:pStyle w:val="ListBullet"/>
      </w:pPr>
      <w:r>
        <w:t>Paolo Ferraris — Consigliere indipendente</w:t>
      </w:r>
    </w:p>
    <w:p>
      <w:pPr>
        <w:pStyle w:val="ListBullet"/>
      </w:pPr>
      <w:r>
        <w:t>Assente giustificato: Luca Moretti — Consigliere</w:t>
      </w:r>
    </w:p>
    <w:p>
      <w:pPr>
        <w:pStyle w:val="Heading2"/>
      </w:pPr>
      <w:r>
        <w:t>1. Approvazione del verbale precedente</w:t>
      </w:r>
    </w:p>
    <w:p>
      <w:r>
        <w:t>Il Presidente dà lettura del verbale della seduta precedente, che viene approvato all'unanimità senza osservazioni.</w:t>
      </w:r>
    </w:p>
    <w:p>
      <w:pPr>
        <w:pStyle w:val="Heading2"/>
      </w:pPr>
      <w:r>
        <w:t>2. Andamento commerciale del primo trimestre</w:t>
      </w:r>
    </w:p>
    <w:p>
      <w:r>
        <w:t>L'Amministratore Delegato illustra i risultati del primo trimestre: il fatturato si attesta a 13,1 milioni di euro, in crescita del 9% sul corrispondente periodo dell'anno precedente. Il canale online cresce più rapidamente del previsto e rappresenta ora il 34% degli ordini, contro il 28% stimato a budget. Il Consiglio prende atto.</w:t>
      </w:r>
    </w:p>
    <w:p>
      <w:pPr>
        <w:pStyle w:val="Heading2"/>
      </w:pPr>
      <w:r>
        <w:t>3. Secondo showroom</w:t>
      </w:r>
    </w:p>
    <w:p>
      <w:r>
        <w:t>Il Consiglio discute l'apertura del secondo showroom. Sono state valutate tre localizzazioni: Bologna, Torino e Padova. La consigliera Bonelli evidenzia che Bologna ha la maggiore concentrazione di clienti enterprise già attivi, mentre Torino offrirebbe canoni di locazione inferiori del 20%.</w:t>
      </w:r>
    </w:p>
    <w:p>
      <w:r>
        <w:t>Dopo discussione il Consiglio delibera all'unanimità di procedere con Bologna, con apertura prevista entro il quarto trimestre 2026 e un budget di investimento di 340 mila euro. L'Amministratore Delegato è incaricato di sottoporre il contratto di locazione al Consiglio prima della firma.</w:t>
      </w:r>
    </w:p>
    <w:p>
      <w:pPr>
        <w:pStyle w:val="Heading2"/>
      </w:pPr>
      <w:r>
        <w:t>4. Estensione di garanzia SRV-03</w:t>
      </w:r>
    </w:p>
    <w:p>
      <w:r>
        <w:t>La consigliera Bonelli riferisce sull'andamento del servizio SRV-03 di estensione della garanzia: il tasso di adesione all'acquisto è salito al 22%, contro il 17% dell'anno precedente. Il Consiglio approva l'estensione della finestra di attivazione da 60 a 90 giorni dalla consegna, con decorrenza immediata, e incarica il servizio clienti di aggiornare la documentazione pubblicata sul sito.</w:t>
      </w:r>
    </w:p>
    <w:p>
      <w:pPr>
        <w:pStyle w:val="Heading2"/>
      </w:pPr>
      <w:r>
        <w:t>5. Fornitura dei motori lineari</w:t>
      </w:r>
    </w:p>
    <w:p>
      <w:r>
        <w:t>Il Consiglio esamina la proposta di rinnovo triennale del contratto con il fornitore dei motori lineari. Il consigliere Ferraris chiede che sia valutato un secondo fornitore per ridurre il rischio di concentrazione. Il Consiglio rinvia la decisione alla seduta successiva, incaricando la funzione acquisti di presentare almeno due offerte alternative.</w:t>
      </w:r>
    </w:p>
    <w:p>
      <w:pPr>
        <w:pStyle w:val="Heading2"/>
      </w:pPr>
      <w:r>
        <w:t>6. Varie ed eventuali</w:t>
      </w:r>
    </w:p>
    <w:p>
      <w:r>
        <w:t>Non essendovi altri argomenti all'ordine del giorno, il Presidente dichiara chiusa la seduta alle ore 17:40.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