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Contratto di fornitura di servizi cloud</w:t>
      </w:r>
    </w:p>
    <w:p>
      <w:r>
        <w:t>Tra Lumen S.r.l., con sede legale in Milano, via dei Tigli 14, P.IVA 01234567890, in persona del direttore generale M. Rota (di seguito, il Cliente), e NuvolaTech S.p.A., con sede legale in Torino, corso Stati Uniti 8, P.IVA 09876543210, in persona del procuratore speciale A. Ricciardi (di seguito, il Fornitore), si conviene e si stipula quanto segue.</w:t>
      </w:r>
    </w:p>
    <w:p>
      <w:pPr>
        <w:pStyle w:val="Heading2"/>
      </w:pPr>
      <w:r>
        <w:t>Premesse</w:t>
      </w:r>
    </w:p>
    <w:p>
      <w:r>
        <w:t>Il Cliente ha deliberato, con verbale di riunione n. 14/2026 del 12 giugno 2026, la migrazione del proprio gestionale aziendale in cloud. Il Fornitore è operatore specializzato in servizi di hosting gestito e migrazione applicativa. Le premesse costituiscono parte integrante e sostanziale del presente contratto.</w:t>
      </w:r>
    </w:p>
    <w:p>
      <w:pPr>
        <w:pStyle w:val="Heading2"/>
      </w:pPr>
      <w:r>
        <w:t>Art. 1 — Oggetto</w:t>
      </w:r>
    </w:p>
    <w:p>
      <w:r>
        <w:t>Il Fornitore si impegna a erogare in favore del Cliente: (a) i servizi di migrazione del gestionale e degli archivi documentali; (b) i servizi di hosting gestito in alta affidabilità; (c) i servizi di backup e disaster recovery; (d) il supporto tecnico specialistico, secondo i livelli di servizio di cui all'art. 4.</w:t>
      </w:r>
    </w:p>
    <w:p>
      <w:pPr>
        <w:pStyle w:val="Heading2"/>
      </w:pPr>
      <w:r>
        <w:t>Art. 2 — Durata</w:t>
      </w:r>
    </w:p>
    <w:p>
      <w:r>
        <w:t>Il contratto ha durata di 36 mesi a decorrere dal 1 settembre 2026 e si intende rinnovato per ulteriori 12 mesi salvo disdetta di una delle parti con preavviso di 90 giorni, da comunicarsi a mezzo PEC.</w:t>
      </w:r>
    </w:p>
    <w:p>
      <w:pPr>
        <w:pStyle w:val="Heading2"/>
      </w:pPr>
      <w:r>
        <w:t>Art. 3 — Corrispettivi e fatturazione</w:t>
      </w:r>
    </w:p>
    <w:p>
      <w:r>
        <w:t>I corrispettivi dovuti dal Cliente sono riportati nella tabella seguente, parte integrante del presente contratto. La fatturazione è trimestrale anticipata, con pagamento a 60 giorni data fattura.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Voce</w:t>
            </w:r>
          </w:p>
        </w:tc>
        <w:tc>
          <w:tcPr>
            <w:tcW w:type="dxa" w:w="2880"/>
          </w:tcPr>
          <w:p>
            <w:r>
              <w:t>Importo</w:t>
            </w:r>
          </w:p>
        </w:tc>
        <w:tc>
          <w:tcPr>
            <w:tcW w:type="dxa" w:w="2880"/>
          </w:tcPr>
          <w:p>
            <w:r>
              <w:t>Periodicità</w:t>
            </w:r>
          </w:p>
        </w:tc>
      </w:tr>
      <w:tr>
        <w:tc>
          <w:tcPr>
            <w:tcW w:type="dxa" w:w="2880"/>
          </w:tcPr>
          <w:p>
            <w:r>
              <w:t>Migrazione una tantum</w:t>
            </w:r>
          </w:p>
        </w:tc>
        <w:tc>
          <w:tcPr>
            <w:tcW w:type="dxa" w:w="2880"/>
          </w:tcPr>
          <w:p>
            <w:r>
              <w:t>18.000 euro</w:t>
            </w:r>
          </w:p>
        </w:tc>
        <w:tc>
          <w:tcPr>
            <w:tcW w:type="dxa" w:w="2880"/>
          </w:tcPr>
          <w:p>
            <w:r>
              <w:t>alla consegna</w:t>
            </w:r>
          </w:p>
        </w:tc>
      </w:tr>
      <w:tr>
        <w:tc>
          <w:tcPr>
            <w:tcW w:type="dxa" w:w="2880"/>
          </w:tcPr>
          <w:p>
            <w:r>
              <w:t>Hosting gestito</w:t>
            </w:r>
          </w:p>
        </w:tc>
        <w:tc>
          <w:tcPr>
            <w:tcW w:type="dxa" w:w="2880"/>
          </w:tcPr>
          <w:p>
            <w:r>
              <w:t>2.100 euro</w:t>
            </w:r>
          </w:p>
        </w:tc>
        <w:tc>
          <w:tcPr>
            <w:tcW w:type="dxa" w:w="2880"/>
          </w:tcPr>
          <w:p>
            <w:r>
              <w:t>mensile</w:t>
            </w:r>
          </w:p>
        </w:tc>
      </w:tr>
      <w:tr>
        <w:tc>
          <w:tcPr>
            <w:tcW w:type="dxa" w:w="2880"/>
          </w:tcPr>
          <w:p>
            <w:r>
              <w:t>Backup e disaster recovery</w:t>
            </w:r>
          </w:p>
        </w:tc>
        <w:tc>
          <w:tcPr>
            <w:tcW w:type="dxa" w:w="2880"/>
          </w:tcPr>
          <w:p>
            <w:r>
              <w:t>450 euro</w:t>
            </w:r>
          </w:p>
        </w:tc>
        <w:tc>
          <w:tcPr>
            <w:tcW w:type="dxa" w:w="2880"/>
          </w:tcPr>
          <w:p>
            <w:r>
              <w:t>mensile</w:t>
            </w:r>
          </w:p>
        </w:tc>
      </w:tr>
      <w:tr>
        <w:tc>
          <w:tcPr>
            <w:tcW w:type="dxa" w:w="2880"/>
          </w:tcPr>
          <w:p>
            <w:r>
              <w:t>Supporto specialistico (10 h/mese)</w:t>
            </w:r>
          </w:p>
        </w:tc>
        <w:tc>
          <w:tcPr>
            <w:tcW w:type="dxa" w:w="2880"/>
          </w:tcPr>
          <w:p>
            <w:r>
              <w:t>900 euro</w:t>
            </w:r>
          </w:p>
        </w:tc>
        <w:tc>
          <w:tcPr>
            <w:tcW w:type="dxa" w:w="2880"/>
          </w:tcPr>
          <w:p>
            <w:r>
              <w:t>mensile</w:t>
            </w:r>
          </w:p>
        </w:tc>
      </w:tr>
      <w:tr>
        <w:tc>
          <w:tcPr>
            <w:tcW w:type="dxa" w:w="2880"/>
          </w:tcPr>
          <w:p>
            <w:r>
              <w:t>Ore di supporto extra</w:t>
            </w:r>
          </w:p>
        </w:tc>
        <w:tc>
          <w:tcPr>
            <w:tcW w:type="dxa" w:w="2880"/>
          </w:tcPr>
          <w:p>
            <w:r>
              <w:t>95 euro/ora</w:t>
            </w:r>
          </w:p>
        </w:tc>
        <w:tc>
          <w:tcPr>
            <w:tcW w:type="dxa" w:w="2880"/>
          </w:tcPr>
          <w:p>
            <w:r>
              <w:t>a consumo</w:t>
            </w:r>
          </w:p>
        </w:tc>
      </w:tr>
    </w:tbl>
    <w:p>
      <w:pPr>
        <w:pStyle w:val="Heading2"/>
      </w:pPr>
      <w:r>
        <w:t>Art. 4 — Livelli di servizio (SLA)</w:t>
      </w:r>
    </w:p>
    <w:p>
      <w:r>
        <w:t>Il Fornitore garantisce i livelli di servizio riportati nella tabella seguente. Il mancato rispetto degli SLA comporta l'applicazione delle penali indicate, che il Cliente potrà compensare con i corrispettivi dovuti.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Servizio</w:t>
            </w:r>
          </w:p>
        </w:tc>
        <w:tc>
          <w:tcPr>
            <w:tcW w:type="dxa" w:w="2880"/>
          </w:tcPr>
          <w:p>
            <w:r>
              <w:t>SLA garantito</w:t>
            </w:r>
          </w:p>
        </w:tc>
        <w:tc>
          <w:tcPr>
            <w:tcW w:type="dxa" w:w="2880"/>
          </w:tcPr>
          <w:p>
            <w:r>
              <w:t>Penale per violazione</w:t>
            </w:r>
          </w:p>
        </w:tc>
      </w:tr>
      <w:tr>
        <w:tc>
          <w:tcPr>
            <w:tcW w:type="dxa" w:w="2880"/>
          </w:tcPr>
          <w:p>
            <w:r>
              <w:t>Disponibilità piattaforma</w:t>
            </w:r>
          </w:p>
        </w:tc>
        <w:tc>
          <w:tcPr>
            <w:tcW w:type="dxa" w:w="2880"/>
          </w:tcPr>
          <w:p>
            <w:r>
              <w:t>99,9% su base mensile</w:t>
            </w:r>
          </w:p>
        </w:tc>
        <w:tc>
          <w:tcPr>
            <w:tcW w:type="dxa" w:w="2880"/>
          </w:tcPr>
          <w:p>
            <w:r>
              <w:t>5% del canone mensile</w:t>
            </w:r>
          </w:p>
        </w:tc>
      </w:tr>
      <w:tr>
        <w:tc>
          <w:tcPr>
            <w:tcW w:type="dxa" w:w="2880"/>
          </w:tcPr>
          <w:p>
            <w:r>
              <w:t>Tempo di ripristino (RTO)</w:t>
            </w:r>
          </w:p>
        </w:tc>
        <w:tc>
          <w:tcPr>
            <w:tcW w:type="dxa" w:w="2880"/>
          </w:tcPr>
          <w:p>
            <w:r>
              <w:t>4 ore</w:t>
            </w:r>
          </w:p>
        </w:tc>
        <w:tc>
          <w:tcPr>
            <w:tcW w:type="dxa" w:w="2880"/>
          </w:tcPr>
          <w:p>
            <w:r>
              <w:t>250 euro per ora di ritardo</w:t>
            </w:r>
          </w:p>
        </w:tc>
      </w:tr>
      <w:tr>
        <w:tc>
          <w:tcPr>
            <w:tcW w:type="dxa" w:w="2880"/>
          </w:tcPr>
          <w:p>
            <w:r>
              <w:t>Perdita dati massima (RPO)</w:t>
            </w:r>
          </w:p>
        </w:tc>
        <w:tc>
          <w:tcPr>
            <w:tcW w:type="dxa" w:w="2880"/>
          </w:tcPr>
          <w:p>
            <w:r>
              <w:t>15 minuti</w:t>
            </w:r>
          </w:p>
        </w:tc>
        <w:tc>
          <w:tcPr>
            <w:tcW w:type="dxa" w:w="2880"/>
          </w:tcPr>
          <w:p>
            <w:r>
              <w:t>1.000 euro per evento</w:t>
            </w:r>
          </w:p>
        </w:tc>
      </w:tr>
      <w:tr>
        <w:tc>
          <w:tcPr>
            <w:tcW w:type="dxa" w:w="2880"/>
          </w:tcPr>
          <w:p>
            <w:r>
              <w:t>Prima risposta al ticket (P1)</w:t>
            </w:r>
          </w:p>
        </w:tc>
        <w:tc>
          <w:tcPr>
            <w:tcW w:type="dxa" w:w="2880"/>
          </w:tcPr>
          <w:p>
            <w:r>
              <w:t>30 minuti, h24</w:t>
            </w:r>
          </w:p>
        </w:tc>
        <w:tc>
          <w:tcPr>
            <w:tcW w:type="dxa" w:w="2880"/>
          </w:tcPr>
          <w:p>
            <w:r>
              <w:t>100 euro per violazione</w:t>
            </w:r>
          </w:p>
        </w:tc>
      </w:tr>
      <w:tr>
        <w:tc>
          <w:tcPr>
            <w:tcW w:type="dxa" w:w="2880"/>
          </w:tcPr>
          <w:p>
            <w:r>
              <w:t>Prima risposta al ticket (P2)</w:t>
            </w:r>
          </w:p>
        </w:tc>
        <w:tc>
          <w:tcPr>
            <w:tcW w:type="dxa" w:w="2880"/>
          </w:tcPr>
          <w:p>
            <w:r>
              <w:t>4 ore lavorative</w:t>
            </w:r>
          </w:p>
        </w:tc>
        <w:tc>
          <w:tcPr>
            <w:tcW w:type="dxa" w:w="2880"/>
          </w:tcPr>
          <w:p>
            <w:r>
              <w:t>50 euro per violazione</w:t>
            </w:r>
          </w:p>
        </w:tc>
      </w:tr>
      <w:tr>
        <w:tc>
          <w:tcPr>
            <w:tcW w:type="dxa" w:w="2880"/>
          </w:tcPr>
          <w:p>
            <w:r>
              <w:t>Report mensile SLA</w:t>
            </w:r>
          </w:p>
        </w:tc>
        <w:tc>
          <w:tcPr>
            <w:tcW w:type="dxa" w:w="2880"/>
          </w:tcPr>
          <w:p>
            <w:r>
              <w:t>entro il giorno 5</w:t>
            </w:r>
          </w:p>
        </w:tc>
        <w:tc>
          <w:tcPr>
            <w:tcW w:type="dxa" w:w="2880"/>
          </w:tcPr>
          <w:p>
            <w:r>
              <w:t>50 euro per giorno di ritardo</w:t>
            </w:r>
          </w:p>
        </w:tc>
      </w:tr>
    </w:tbl>
    <w:p>
      <w:pPr>
        <w:pStyle w:val="Heading2"/>
      </w:pPr>
      <w:r>
        <w:t>Art. 5 — Obblighi del Fornitore</w:t>
      </w:r>
    </w:p>
    <w:p>
      <w:r>
        <w:t>Il Fornitore si impegna a: mantenere le certificazioni ISO 27001 e ISO 9001 per tutta la durata contrattuale; localizzare i dati del Cliente esclusivamente in data center situati nell'Unione Europea; comunicare ogni incidente di sicurezza entro 24 ore dalla rilevazione; fornire report mensili sui livelli di servizio.</w:t>
      </w:r>
    </w:p>
    <w:p>
      <w:pPr>
        <w:pStyle w:val="Heading2"/>
      </w:pPr>
      <w:r>
        <w:t>Art. 6 — Riservatezza e protezione dei dati</w:t>
      </w:r>
    </w:p>
    <w:p>
      <w:r>
        <w:t>Le parti si impegnano a mantenere riservate le informazioni scambiate in esecuzione del presente contratto. Il Fornitore è nominato responsabile del trattamento ai sensi dell'art. 28 del Regolamento UE 2016/679, secondo l'accordo allegato sub B.</w:t>
      </w:r>
    </w:p>
    <w:p>
      <w:pPr>
        <w:pStyle w:val="Heading2"/>
      </w:pPr>
      <w:r>
        <w:t>Art. 7 — Recesso e risoluzione</w:t>
      </w:r>
    </w:p>
    <w:p>
      <w:r>
        <w:t>Il Cliente può recedere in qualsiasi momento con preavviso di 90 giorni, corrispondendo i soli servizi erogati. Il contratto si risolve di diritto in caso di violazione degli obblighi di cui agli artt. 5 e 6, previa diffida ad adempiere entro 15 giorni.</w:t>
      </w:r>
    </w:p>
    <w:p>
      <w:pPr>
        <w:pStyle w:val="Heading2"/>
      </w:pPr>
      <w:r>
        <w:t>Art. 8 — Foro competente</w:t>
      </w:r>
    </w:p>
    <w:p>
      <w:r>
        <w:t>Per ogni controversia derivante dal presente contratto è competente in via esclusiva il Foro di Milano.</w:t>
      </w:r>
    </w:p>
    <w:p>
      <w:r>
        <w:t>Milano, 30 giugno 2026</w:t>
      </w:r>
    </w:p>
    <w:p>
      <w:r>
        <w:t>Lumen S.r.l. — M. Rota          NuvolaTech S.p.A. — A. Ricciardi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