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>
      <w:pPr>
        <w:spacing w:line="360" w:lineRule="auto" w:before="0" w:after="200"/>
        <w:ind w:firstLine="0"/>
        <w:jc w:val="center"/>
      </w:pPr>
      <w:r>
        <w:rPr>
          <w:rFonts w:ascii="Times New Roman" w:hAnsi="Times New Roman" w:eastAsia="黑体"/>
          <w:b/>
          <w:sz w:val="40"/>
        </w:rPr>
        <w:t>语音识别技术与应用课程</w:t>
      </w:r>
    </w:p>
    <w:p>
      <w:pPr>
        <w:spacing w:line="360" w:lineRule="auto" w:before="0" w:after="440"/>
        <w:ind w:firstLine="0"/>
        <w:jc w:val="center"/>
      </w:pPr>
      <w:r>
        <w:rPr>
          <w:rFonts w:ascii="Times New Roman" w:hAnsi="Times New Roman" w:eastAsia="黑体"/>
          <w:b/>
          <w:sz w:val="48"/>
        </w:rPr>
        <w:t>期末项目报告</w:t>
      </w:r>
    </w:p>
    <w:p>
      <w:pPr>
        <w:spacing w:line="360" w:lineRule="auto" w:before="0" w:after="560"/>
        <w:ind w:firstLine="0"/>
        <w:jc w:val="center"/>
      </w:pPr>
      <w:r>
        <w:rPr>
          <w:rFonts w:ascii="Times New Roman" w:hAnsi="Times New Roman" w:eastAsia="宋体"/>
          <w:b/>
          <w:sz w:val="30"/>
        </w:rPr>
        <w:t>项目名称：基于 CNN 的进食声音分类识别系统</w:t>
      </w:r>
    </w:p>
    <w:p>
      <w:pPr>
        <w:spacing w:after="200"/>
        <w:ind w:left="2016"/>
        <w:jc w:val="left"/>
      </w:pPr>
      <w:r>
        <w:rPr>
          <w:rFonts w:ascii="Times New Roman" w:hAnsi="Times New Roman" w:eastAsia="宋体"/>
          <w:sz w:val="28"/>
        </w:rPr>
        <w:t>学院：昆明城市学院</w:t>
      </w:r>
    </w:p>
    <w:p>
      <w:pPr>
        <w:spacing w:after="200"/>
        <w:ind w:left="2016"/>
        <w:jc w:val="left"/>
      </w:pPr>
      <w:r>
        <w:rPr>
          <w:rFonts w:ascii="Times New Roman" w:hAnsi="Times New Roman" w:eastAsia="宋体"/>
          <w:sz w:val="28"/>
        </w:rPr>
        <w:t>专业：_____________________________</w:t>
      </w:r>
    </w:p>
    <w:p>
      <w:pPr>
        <w:spacing w:after="200"/>
        <w:ind w:left="2016"/>
        <w:jc w:val="left"/>
      </w:pPr>
      <w:r>
        <w:rPr>
          <w:rFonts w:ascii="Times New Roman" w:hAnsi="Times New Roman" w:eastAsia="宋体"/>
          <w:sz w:val="28"/>
        </w:rPr>
        <w:t>班级：_____________________________</w:t>
      </w:r>
    </w:p>
    <w:p>
      <w:pPr>
        <w:spacing w:after="200"/>
        <w:ind w:left="2016"/>
        <w:jc w:val="left"/>
      </w:pPr>
      <w:r>
        <w:rPr>
          <w:rFonts w:ascii="Times New Roman" w:hAnsi="Times New Roman" w:eastAsia="宋体"/>
          <w:sz w:val="28"/>
        </w:rPr>
        <w:t>组长姓名：_________________________</w:t>
      </w:r>
    </w:p>
    <w:p>
      <w:pPr>
        <w:spacing w:after="200"/>
        <w:ind w:left="2016"/>
        <w:jc w:val="left"/>
      </w:pPr>
      <w:r>
        <w:rPr>
          <w:rFonts w:ascii="Times New Roman" w:hAnsi="Times New Roman" w:eastAsia="宋体"/>
          <w:sz w:val="28"/>
        </w:rPr>
        <w:t>小组成员：_________________________</w:t>
      </w:r>
    </w:p>
    <w:p/>
    <w:p/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4"/>
        </w:rPr>
        <w:t>2026年6月20日</w:t>
      </w:r>
    </w:p>
    <w:p>
      <w:r>
        <w:br w:type="page"/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黑体"/>
          <w:b/>
          <w:color w:val="2E74B5"/>
          <w:sz w:val="28"/>
        </w:rPr>
        <w:t>摘要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本项目面向进食声音识别任务，使用 Kaggle Eating Sound Collection 数据集构建 20 类食物/进食声音分类系统。项目以音频文件为输入，统一完成单声道转换、采样率重采样、3 秒截断或补零、Mel 频谱图提取和归一化处理，再将 Mel 频谱图作为单通道图像输入卷积神经网络进行分类。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当前最终模型采用 cnn_v2 结构，在验证集 2236 条样本上取得 94.45% 的准确率，最优 checkpoint 保存于第 56 轮。与早期 cnn_v1 留痕实验相比，最终模型通过更深的双卷积模块、SiLU 激活、Dropout2d 正则化、类别权重和 SpecAugment 数据增强显著提升了识别效果。项目代码包含训练、预测、数据缓存和模型保存功能，能够支持单个音频文件的 Top-5 类别预测。</w:t>
      </w:r>
    </w:p>
    <w:p>
      <w:pPr>
        <w:spacing w:line="360" w:lineRule="auto" w:before="0" w:after="160"/>
        <w:ind w:firstLine="48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>进食声音识别；Mel 频谱图；卷积神经网络；PyTorch；音频分类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黑体"/>
          <w:b/>
          <w:color w:val="2E74B5"/>
          <w:sz w:val="28"/>
        </w:rPr>
        <w:t>1 数据集介绍</w:t>
      </w:r>
    </w:p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1.1 数据来源与任务定义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本项目数据集来源为 Kaggle 平台的 Eating Sound Collection 数据集，下载地址为：https://www.kaggle.com/datasets/mashijie/eating-sound-collection?resource=download。项目本地数据存放在 archive/clips_rd 目录下，按照类别文件夹组织音频文件。任务目标是从短时进食声音中识别对应的食物或进食类别，属于多类别音频分类问题。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数据集共包含 20 个类别、11140 条音频样本。类别包括 aloe、burger、cabbage、candied_fruits、carrots、chips、chocolate、drinks、fries、grapes、gummies、ice-cream、jelly、noodles、pickles、pizza、ribs、salmon、soup 和 wings。项目使用分层划分方式按照约 8:2 的比例划分训练集和验证集，当前代码对应训练样本 8904 条、验证样本 2236 条。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表1 数据集类别与样本数量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864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2448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英文类别</w:t>
            </w:r>
          </w:p>
        </w:tc>
        <w:tc>
          <w:tcPr>
            <w:tcW w:type="dxa" w:w="3456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中文说明</w:t>
            </w:r>
          </w:p>
        </w:tc>
        <w:tc>
          <w:tcPr>
            <w:tcW w:type="dxa" w:w="1440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样本数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aloe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芦荟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546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burger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汉堡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595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cabbage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卷心菜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499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candied_fruits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蜜饯/糖葫芦类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806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carrots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胡萝卜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660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chips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薯片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719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chocolate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巧克力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290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drinks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饮品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292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fries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薯条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644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grapes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葡萄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579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gummies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软糖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678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ice-cream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冰淇淋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727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jelly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果冻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442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noodles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面条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411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pickles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腌菜/泡菜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872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pizza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披萨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609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ribs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排骨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488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salmon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三文鱼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501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soup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汤类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278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wings</w:t>
            </w:r>
          </w:p>
        </w:tc>
        <w:tc>
          <w:tcPr>
            <w:tcW w:type="dxa" w:w="345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鸡翅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504</w:t>
            </w:r>
          </w:p>
        </w:tc>
      </w:tr>
    </w:tbl>
    <w:p/>
    <w:p>
      <w:pPr>
        <w:spacing w:line="360" w:lineRule="auto" w:before="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图1 数据集类别分布</w:t>
      </w:r>
    </w:p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1.2 音频预处理与特征提取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项目在 dataset.py 中实现音频预处理流程。首先将多通道音频平均为单声道；若原始采样率不等于目标采样率，则重采样到 22050 Hz；随后将每条音频统一裁剪或补零到 3 秒。完成长度统一后，使用 torchaudio.transforms.MelSpectrogram 将波形转换为 Mel 频谱图，再通过 AmplitudeToDB 转换到 dB 尺度。训练和验证阶段均将 Mel 特征按样本自身的最小值与最大值归一化到 [0,1] 区间。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为提升训练效率，PrecomputedMelDataset 会在首次运行时把每条音频的 dB Mel 频谱图缓存为 .pt 文件，后续训练直接从 mel_cache 读取缓存特征。训练集额外使用 TimeMasking、FrequencyMasking 和时间轴随机平移增强，验证集仅做归一化，不引入随机增强。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表2 音频预处理与特征提取参数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92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6480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取值/说明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采样率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22050 Hz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音频长度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3.0 秒，不足补零，超出截断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Mel 滤波器数量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128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FFT 点数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1024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帧移 hop_length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512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频率范围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 Hz - 8000 Hz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幅度转换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AmplitudeToDB(top_db=80)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数据增强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TimeMasking=20、FrequencyMasking=10、时间平移最大 8 帧</w:t>
            </w:r>
          </w:p>
        </w:tc>
      </w:tr>
    </w:tbl>
    <w:p/>
    <w:p>
      <w:pPr>
        <w:spacing w:line="360" w:lineRule="auto" w:before="200" w:after="120"/>
        <w:ind w:firstLine="0"/>
      </w:pPr>
      <w:r>
        <w:rPr>
          <w:rFonts w:ascii="Times New Roman" w:hAnsi="Times New Roman" w:eastAsia="黑体"/>
          <w:b/>
          <w:color w:val="2E74B5"/>
          <w:sz w:val="28"/>
        </w:rPr>
        <w:t>2 模型搭建</w:t>
      </w:r>
    </w:p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2.1 模型总体思路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项目将 Mel 频谱图视为一张单通道图像，使用二维卷积网络提取频率轴和时间轴上的局部模式。相比直接处理原始波形，Mel 频谱图能更直观地表达咀嚼、吞咽、脆裂、液体流动等进食声音的能量分布变化，适合使用 CNN 进行模式识别。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当前配置 MODEL_ARCH 为 cnn_v2。模型输入形状为 (B,1,128,T)，其中 B 为批量大小，128 为 Mel 频带数量，T 为由 3 秒音频和 hop_length 决定的时间帧数。模型输出为 20 维 logits，对应 20 个食物声音类别。</w:t>
      </w:r>
    </w:p>
    <w:p>
      <w:pPr>
        <w:spacing w:line="360" w:lineRule="auto" w:before="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824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图2 cnn_v2 模型结构示意图</w:t>
      </w:r>
    </w:p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2.2 cnn_v2 结构说明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cnn_v2 由 4 个 DoubleConvBlock 组成，每个阶段包含两层 3×3 卷积、BatchNorm2d 和 SiLU 激活函数，并在阶段末尾使用 MaxPool2d 下采样。后两层卷积阶段加入更强的 Dropout2d 正则化，以降低过拟合风险。特征提取后，模型使用 AdaptiveAvgPool2d 将二维特征图压缩为 1×1，再通过全连接分类器输出最终类别。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表3 cnn_v2 模型结构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28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5760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结构</w:t>
            </w:r>
          </w:p>
        </w:tc>
        <w:tc>
          <w:tcPr>
            <w:tcW w:type="dxa" w:w="1584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输入层</w:t>
            </w:r>
          </w:p>
        </w:tc>
        <w:tc>
          <w:tcPr>
            <w:tcW w:type="dxa" w:w="576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单通道 Mel 频谱图</w:t>
            </w:r>
          </w:p>
        </w:tc>
        <w:tc>
          <w:tcPr>
            <w:tcW w:type="dxa" w:w="158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(B,1,128,T)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 1</w:t>
            </w:r>
          </w:p>
        </w:tc>
        <w:tc>
          <w:tcPr>
            <w:tcW w:type="dxa" w:w="576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DoubleConvBlock，1→32，Dropout2d=0.05</w:t>
            </w:r>
          </w:p>
        </w:tc>
        <w:tc>
          <w:tcPr>
            <w:tcW w:type="dxa" w:w="158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下采样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 2</w:t>
            </w:r>
          </w:p>
        </w:tc>
        <w:tc>
          <w:tcPr>
            <w:tcW w:type="dxa" w:w="576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DoubleConvBlock，32→64，Dropout2d=0.05</w:t>
            </w:r>
          </w:p>
        </w:tc>
        <w:tc>
          <w:tcPr>
            <w:tcW w:type="dxa" w:w="158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下采样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 3</w:t>
            </w:r>
          </w:p>
        </w:tc>
        <w:tc>
          <w:tcPr>
            <w:tcW w:type="dxa" w:w="576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DoubleConvBlock，64→128，Dropout2d=0.10</w:t>
            </w:r>
          </w:p>
        </w:tc>
        <w:tc>
          <w:tcPr>
            <w:tcW w:type="dxa" w:w="158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下采样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 4</w:t>
            </w:r>
          </w:p>
        </w:tc>
        <w:tc>
          <w:tcPr>
            <w:tcW w:type="dxa" w:w="576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DoubleConvBlock，128→256，Dropout2d=0.10</w:t>
            </w:r>
          </w:p>
        </w:tc>
        <w:tc>
          <w:tcPr>
            <w:tcW w:type="dxa" w:w="158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下采样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全局池化</w:t>
            </w:r>
          </w:p>
        </w:tc>
        <w:tc>
          <w:tcPr>
            <w:tcW w:type="dxa" w:w="576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AdaptiveAvgPool2d((1,1))</w:t>
            </w:r>
          </w:p>
        </w:tc>
        <w:tc>
          <w:tcPr>
            <w:tcW w:type="dxa" w:w="158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固定输出维度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分类器</w:t>
            </w:r>
          </w:p>
        </w:tc>
        <w:tc>
          <w:tcPr>
            <w:tcW w:type="dxa" w:w="576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Dropout(0.35) + Linear(256,256) + SiLU + Dropout(0.175) + Linear(256,20)</w:t>
            </w:r>
          </w:p>
        </w:tc>
        <w:tc>
          <w:tcPr>
            <w:tcW w:type="dxa" w:w="1584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 类输出</w:t>
            </w:r>
          </w:p>
        </w:tc>
      </w:tr>
    </w:tbl>
    <w:p/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当前 cnn_v2 模型总参数量为 1,243,572，均为可训练参数。项目同时保留 EatingSoundCNN（cnn_v1）作为兼容基线，便于与较浅模型进行对比。cnn_v2 相比 cnn_v1 增加了卷积层深度和分类器容量，因此能够学习更细粒度的声音纹理特征。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黑体"/>
          <w:b/>
          <w:color w:val="2E74B5"/>
          <w:sz w:val="28"/>
        </w:rPr>
        <w:t>3 实验设计</w:t>
      </w:r>
    </w:p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3.1 实验环境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项目基于 Python、PyTorch 与 torchaudio 实现。训练留痕显示实验环境使用 NVIDIA GeForce RTX 3060 Laptop GPU，显存约 6.4 GB，并启用 CUDA 与 AMP 混合精度训练。混合精度训练可以降低显存占用并提升训练速度，适合本项目中批量大小为 128 的音频频谱图分类任务。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表4 实验环境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92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480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深度学习框架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PyTorch + torchaudio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设备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CUDA GPU（NVIDIA GeForce RTX 3060 Laptop GPU）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混合精度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torch.amp autocast + GradScaler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随机种子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42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数据读取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预计算 Mel 缓存 + DataLoader</w:t>
            </w:r>
          </w:p>
        </w:tc>
      </w:tr>
    </w:tbl>
    <w:p/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3.2 训练策略与超参数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训练入口位于 train.py。训练过程使用 AdamW 优化器，初始学习率为 8e-4，权重衰减为 1e-4，并采用 CosineAnnealingLR 余弦退火学习率调度。损失函数为带类别权重的 CrossEntropyLoss，同时设置 label_smoothing=0.05，使模型在类别不均衡和相似声音类别下具有更稳定的泛化能力。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表5 训练超参数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92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6480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设置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模型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cnn_v2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训练轮数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60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批量大小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128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优化器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AdamW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初始学习率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8e-4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权重衰减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1e-4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学习率调度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CosineAnnealingLR，eta_min=1e-6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损失函数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CrossEntropyLoss + 类别权重 + label_smoothing=0.05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早停策略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验证准确率连续 15 轮不提升时停止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训练增强</w:t>
            </w:r>
          </w:p>
        </w:tc>
        <w:tc>
          <w:tcPr>
            <w:tcW w:type="dxa" w:w="648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TimeMasking、FrequencyMasking、时间轴随机平移</w:t>
            </w:r>
          </w:p>
        </w:tc>
      </w:tr>
    </w:tbl>
    <w:p/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3.3 对比实验设计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项目迭代过程中保留了两份 cnn_v1 训练留痕，并在最终版本中切换到更强的 cnn_v2。对比目标是观察模型容量、双卷积模块和更充分训练轮数对验证准确率的影响。早期 cnn_v1 的参数量约为 423,796，最终 cnn_v2 参数量为 1,243,572；二者均使用 Mel 频谱图作为输入。本次刷新后的 cnn_v2 完成 60 轮训练，并在第 56 轮取得 94.45% 的最佳验证准确率。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表6 模型迭代对比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448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实验</w:t>
            </w:r>
          </w:p>
        </w:tc>
        <w:tc>
          <w:tcPr>
            <w:tcW w:type="dxa" w:w="1728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参数量</w:t>
            </w:r>
          </w:p>
        </w:tc>
        <w:tc>
          <w:tcPr>
            <w:tcW w:type="dxa" w:w="1440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训练轮数</w:t>
            </w:r>
          </w:p>
        </w:tc>
        <w:tc>
          <w:tcPr>
            <w:tcW w:type="dxa" w:w="2016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最佳验证准确率</w:t>
            </w:r>
          </w:p>
        </w:tc>
        <w:tc>
          <w:tcPr>
            <w:tcW w:type="dxa" w:w="1728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cnn_v1 留痕实验 1</w:t>
            </w:r>
          </w:p>
        </w:tc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423,796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</w:t>
            </w:r>
          </w:p>
        </w:tc>
        <w:tc>
          <w:tcPr>
            <w:tcW w:type="dxa" w:w="201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82.50%</w:t>
            </w:r>
          </w:p>
        </w:tc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留痕.txt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cnn_v1 留痕实验 2</w:t>
            </w:r>
          </w:p>
        </w:tc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423,796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</w:t>
            </w:r>
          </w:p>
        </w:tc>
        <w:tc>
          <w:tcPr>
            <w:tcW w:type="dxa" w:w="201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76.44%</w:t>
            </w:r>
          </w:p>
        </w:tc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留痕2.txt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cnn_v2 最终模型</w:t>
            </w:r>
          </w:p>
        </w:tc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1,243,572</w:t>
            </w:r>
          </w:p>
        </w:tc>
        <w:tc>
          <w:tcPr>
            <w:tcW w:type="dxa" w:w="1440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</w:t>
            </w:r>
          </w:p>
        </w:tc>
        <w:tc>
          <w:tcPr>
            <w:tcW w:type="dxa" w:w="2016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94.45%</w:t>
            </w:r>
          </w:p>
        </w:tc>
        <w:tc>
          <w:tcPr>
            <w:tcW w:type="dxa" w:w="172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best_model.pth</w:t>
            </w:r>
          </w:p>
        </w:tc>
      </w:tr>
    </w:tbl>
    <w:p/>
    <w:p>
      <w:pPr>
        <w:spacing w:line="360" w:lineRule="auto" w:before="200" w:after="120"/>
        <w:ind w:firstLine="0"/>
      </w:pPr>
      <w:r>
        <w:rPr>
          <w:rFonts w:ascii="Times New Roman" w:hAnsi="Times New Roman" w:eastAsia="黑体"/>
          <w:b/>
          <w:color w:val="2E74B5"/>
          <w:sz w:val="28"/>
        </w:rPr>
        <w:t>4 实验结果分析</w:t>
      </w:r>
    </w:p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4.1 训练过程分析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最新训练历史记录覆盖 60 轮，训练损失和验证损失整体下降，训练准确率与验证准确率稳步上升并在后期趋于收敛。图3 中星标表示最终保存的 cnn_v2 模型最优验证点，该模型在第 56 轮达到 94.45% 的验证准确率；第 56 轮之后验证准确率仅在 94% 左右小幅波动，说明模型已经接近当前配置下的收敛区间。</w:t>
      </w:r>
    </w:p>
    <w:p>
      <w:pPr>
        <w:spacing w:line="360" w:lineRule="auto" w:before="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96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6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图3 训练与验证曲线记录</w:t>
      </w:r>
    </w:p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4.2 最优模型结果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表7 最优模型验证结果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168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5472"/>
            <w:shd w:fill="E8EEF5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最佳模型结构</w:t>
            </w:r>
          </w:p>
        </w:tc>
        <w:tc>
          <w:tcPr>
            <w:tcW w:type="dxa" w:w="547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cnn_v2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最佳保存轮次</w:t>
            </w:r>
          </w:p>
        </w:tc>
        <w:tc>
          <w:tcPr>
            <w:tcW w:type="dxa" w:w="547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56 轮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验证集样本数</w:t>
            </w:r>
          </w:p>
        </w:tc>
        <w:tc>
          <w:tcPr>
            <w:tcW w:type="dxa" w:w="547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2236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训练集样本数</w:t>
            </w:r>
          </w:p>
        </w:tc>
        <w:tc>
          <w:tcPr>
            <w:tcW w:type="dxa" w:w="547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8904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验证准确率</w:t>
            </w:r>
          </w:p>
        </w:tc>
        <w:tc>
          <w:tcPr>
            <w:tcW w:type="dxa" w:w="547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94.45%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Macro Precision</w:t>
            </w:r>
          </w:p>
        </w:tc>
        <w:tc>
          <w:tcPr>
            <w:tcW w:type="dxa" w:w="547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94.48%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Macro Recall</w:t>
            </w:r>
          </w:p>
        </w:tc>
        <w:tc>
          <w:tcPr>
            <w:tcW w:type="dxa" w:w="547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94.42%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Macro F1-score</w:t>
            </w:r>
          </w:p>
        </w:tc>
        <w:tc>
          <w:tcPr>
            <w:tcW w:type="dxa" w:w="547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94.39%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Weighted F1-score</w:t>
            </w:r>
          </w:p>
        </w:tc>
        <w:tc>
          <w:tcPr>
            <w:tcW w:type="dxa" w:w="5472"/>
            <w:vAlign w:val="center"/>
            <w:tcBorders>
              <w:top w:val="single" w:sz="6" w:color="7F7F7F"/>
              <w:left w:val="single" w:sz="4" w:color="BFBFBF"/>
              <w:bottom w:val="single" w:sz="6" w:color="7F7F7F"/>
              <w:right w:val="single" w:sz="4" w:color="BFBFBF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94.45%</w:t>
            </w:r>
          </w:p>
        </w:tc>
      </w:tr>
    </w:tbl>
    <w:p/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最终模型在验证集上的准确率为 94.45%，宏平均 F1 为 94.39%，加权平均 F1 为 94.45%。这些结果说明模型在多数类别上已经具备稳定识别能力，同时类别权重与 label smoothing 对类别不均衡问题起到了缓解作用；但 jelly、burger、chocolate 等相对易混或样本较少的类别仍拉低了整体上限。</w:t>
      </w:r>
    </w:p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4.3 混淆矩阵分析</w:t>
      </w:r>
    </w:p>
    <w:p>
      <w:pPr>
        <w:spacing w:line="360" w:lineRule="auto" w:before="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4758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58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宋体"/>
          <w:sz w:val="24"/>
        </w:rPr>
        <w:t>图4 最优模型验证集混淆矩阵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混淆矩阵显示，大多数类别的样本集中分布在主对角线附近，说明模型整体分类稳定。误分较多的组合主要包括 burger→wings（7 条）、ice-cream→gummies（5 条）、pickles→ice-cream（5 条）、jelly→gummies（4 条）、jelly→noodles（4 条）、ribs→fries（4 条）。最新结果中最明显的混淆不再是旧报告中的 ribs→wings，而是 burger→wings（7 条）、ice-cream→gummies（5 条）、pickles→ice-cream（5 条）以及 jelly→gummies / jelly→noodles 两组软质食物相关误分。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重点看 jelly、gummies、noodles：jelly 的召回率为 86.52%，在 89 条验证样本中有 4 条被判为 gummies、4 条被判为 noodles，是当前最需要补强的类别；gummies 的召回率为 91.91%、精确率为 92.59%，同时吸收了来自 ice-cream 和 jelly 的样本，说明软糖类声音边界仍偏宽；noodles 的召回率达到 97.59%，但精确率为 91.01%，主要问题不是自身漏判，而是少量 jelly 样本被吸收到 noodles。后续可针对软质/半流质食物增加样本、加入更贴近咀嚼黏连声的增强方式，并在推理阶段使用多窗口投票降低短片段偶然误判。</w:t>
      </w:r>
    </w:p>
    <w:p>
      <w:pPr>
        <w:spacing w:line="360" w:lineRule="auto" w:before="120" w:after="120"/>
        <w:ind w:firstLine="0"/>
      </w:pPr>
      <w:r>
        <w:rPr>
          <w:rFonts w:ascii="Times New Roman" w:hAnsi="Times New Roman" w:eastAsia="黑体"/>
          <w:b/>
          <w:color w:val="1F4D78"/>
          <w:sz w:val="24"/>
        </w:rPr>
        <w:t>4.4 项目应用与不足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项目提供 predict.py 作为推理脚本，输入任意音频文件后，会复用训练阶段相同的重采样、截断/补零、Mel 频谱图提取和归一化流程，加载 best_model.pth 输出 Top-5 预测类别及置信度。该脚本保证训练与推理特征处理一致，便于后续扩展为桌面端或 Web 端音频识别应用。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sz w:val="24"/>
        </w:rPr>
        <w:t>当前项目已经保存逐轮 training_history.csv、主要评估图和 metrics.json，能够复现实验曲线与本次报告指标。主要不足在于仍缺少独立测试集和跨设备、跨噪声场景验证；此外，数据集中部分类别样本数量差异较大，jelly、gummies、noodles 等声音边界接近的类别仍存在误分。后续改进方向包括扩充相似类别样本、加入真实环境噪声增强、尝试预训练音频模型、记录更多推理案例，并对软质食物类别进行更细的错误样本回听分析。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黑体"/>
          <w:b/>
          <w:color w:val="2E74B5"/>
          <w:sz w:val="28"/>
        </w:rPr>
        <w:t>参考资料与项目文件</w:t>
      </w:r>
    </w:p>
    <w:p/>
    <w:p>
      <w:pPr>
        <w:spacing w:line="360" w:lineRule="auto" w:before="0" w:after="60"/>
        <w:ind w:firstLine="0"/>
      </w:pPr>
      <w:r>
        <w:rPr>
          <w:rFonts w:ascii="Times New Roman" w:hAnsi="Times New Roman" w:eastAsia="宋体"/>
          <w:sz w:val="24"/>
        </w:rPr>
        <w:t>数据集：Kaggle Eating Sound Collection，https://www.kaggle.com/datasets/mashijie/eating-sound-collection?resource=download</w:t>
      </w:r>
    </w:p>
    <w:p/>
    <w:p>
      <w:pPr>
        <w:spacing w:line="360" w:lineRule="auto" w:before="0" w:after="60"/>
        <w:ind w:firstLine="0"/>
      </w:pPr>
      <w:r>
        <w:rPr>
          <w:rFonts w:ascii="Times New Roman" w:hAnsi="Times New Roman" w:eastAsia="宋体"/>
          <w:sz w:val="24"/>
        </w:rPr>
        <w:t>项目配置文件：config.py，包含类别、音频参数、训练超参数和路径配置。</w:t>
      </w:r>
    </w:p>
    <w:p/>
    <w:p>
      <w:pPr>
        <w:spacing w:line="360" w:lineRule="auto" w:before="0" w:after="60"/>
        <w:ind w:firstLine="0"/>
      </w:pPr>
      <w:r>
        <w:rPr>
          <w:rFonts w:ascii="Times New Roman" w:hAnsi="Times New Roman" w:eastAsia="宋体"/>
          <w:sz w:val="24"/>
        </w:rPr>
        <w:t>数据处理文件：dataset.py，包含 Mel 频谱图缓存、分层划分、训练增强和验证集归一化。</w:t>
      </w:r>
    </w:p>
    <w:p/>
    <w:p>
      <w:pPr>
        <w:spacing w:line="360" w:lineRule="auto" w:before="0" w:after="60"/>
        <w:ind w:firstLine="0"/>
      </w:pPr>
      <w:r>
        <w:rPr>
          <w:rFonts w:ascii="Times New Roman" w:hAnsi="Times New Roman" w:eastAsia="宋体"/>
          <w:sz w:val="24"/>
        </w:rPr>
        <w:t>模型文件：model.py，包含 cnn_v1、cnn_v2 及 build_model 构建函数。</w:t>
      </w:r>
    </w:p>
    <w:p/>
    <w:p>
      <w:pPr>
        <w:spacing w:line="360" w:lineRule="auto" w:before="0" w:after="60"/>
        <w:ind w:firstLine="0"/>
      </w:pPr>
      <w:r>
        <w:rPr>
          <w:rFonts w:ascii="Times New Roman" w:hAnsi="Times New Roman" w:eastAsia="宋体"/>
          <w:sz w:val="24"/>
        </w:rPr>
        <w:t>训练文件：train.py，包含训练循环、验证、AMP、学习率调度、早停和模型保存逻辑。</w:t>
      </w:r>
    </w:p>
    <w:p/>
    <w:p>
      <w:pPr>
        <w:spacing w:line="360" w:lineRule="auto" w:before="0" w:after="60"/>
        <w:ind w:firstLine="0"/>
      </w:pPr>
      <w:r>
        <w:rPr>
          <w:rFonts w:ascii="Times New Roman" w:hAnsi="Times New Roman" w:eastAsia="宋体"/>
          <w:sz w:val="24"/>
        </w:rPr>
        <w:t>推理文件：predict.py，包含单音频文件预处理、模型加载和 Top-5 预测输出。</w:t>
      </w:r>
    </w:p>
    <w:sectPr w:rsidR="00A0508A" w:rsidRPr="00A0508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5A358" w14:textId="77777777" w:rsidR="006B226D" w:rsidRDefault="006B226D" w:rsidP="005A47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9CB785" w14:textId="77777777" w:rsidR="006B226D" w:rsidRDefault="006B226D" w:rsidP="005A47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9320" w14:textId="77777777" w:rsidR="006B226D" w:rsidRDefault="006B226D" w:rsidP="005A47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5F21FF" w14:textId="77777777" w:rsidR="006B226D" w:rsidRDefault="006B226D" w:rsidP="005A47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C6"/>
    <w:rsid w:val="005A4744"/>
    <w:rsid w:val="006B226D"/>
    <w:rsid w:val="00806175"/>
    <w:rsid w:val="009F280B"/>
    <w:rsid w:val="00A0508A"/>
    <w:rsid w:val="00AE2D85"/>
    <w:rsid w:val="00B618C6"/>
    <w:rsid w:val="00C9478D"/>
    <w:rsid w:val="00D510C6"/>
    <w:rsid w:val="00F6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A05BE"/>
  <w15:chartTrackingRefBased/>
  <w15:docId w15:val="{A70EE64D-E978-4CF8-8ECE-67A66FA1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hAnsi="Times New Roman"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618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8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8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8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8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8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8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8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8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18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18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18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18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18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18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18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8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18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18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8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8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18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8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47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47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47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4744"/>
    <w:rPr>
      <w:sz w:val="18"/>
      <w:szCs w:val="18"/>
    </w:rPr>
  </w:style>
  <w:style w:type="paragraph" w:styleId="af2">
    <w:name w:val="Body Text"/>
    <w:basedOn w:val="a"/>
    <w:link w:val="af3"/>
    <w:qFormat/>
    <w:rsid w:val="00C9478D"/>
    <w:pPr>
      <w:widowControl/>
      <w:kinsoku w:val="0"/>
      <w:autoSpaceDE w:val="0"/>
      <w:autoSpaceDN w:val="0"/>
      <w:adjustRightInd w:val="0"/>
      <w:snapToGrid w:val="0"/>
      <w:spacing w:after="12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  <w:style w:type="character" w:customStyle="1" w:styleId="af3">
    <w:name w:val="正文文本 字符"/>
    <w:basedOn w:val="a0"/>
    <w:link w:val="af2"/>
    <w:rsid w:val="00C9478D"/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340</Words>
  <Characters>474</Characters>
  <Application>Microsoft Office Word</Application>
  <DocSecurity>0</DocSecurity>
  <Lines>23</Lines>
  <Paragraphs>21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ziqian wang</dc:creator>
  <cp:keywords/>
  <dc:description/>
  <cp:lastModifiedBy>ziqian wang</cp:lastModifiedBy>
  <cp:revision>10</cp:revision>
  <dcterms:created xsi:type="dcterms:W3CDTF">2026-04-30T12:34:00Z</dcterms:created>
  <dcterms:modified xsi:type="dcterms:W3CDTF">2026-04-30T12:54:00Z</dcterms:modified>
</cp:coreProperties>
</file>