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作废不可物理删除；比对排除已作废；复核付款渠道位于付款单状态右侧，默认万里汇，无红色 *；明细只读字段不使用输入框；操作成功不使用页面顶部横幅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付款渠道在付款单状态右侧，默认万里汇，无红色 *；【复核确认】或退回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付款渠道位于付款单状态右侧，复核编辑态为下拉，默认万里汇，标签不带红色 *。3. 退回意见写入处理历史，环节为复核。4. 查看模式付款渠道为只读文字，不展示意见录入，底栏仅【关闭】。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复核确认时填写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复核明细位于付款单状态右侧；编辑态为下拉，默认万里汇，无红色 *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复核岗选择付款渠道（默认万里汇），【复核确认】后进入待付款。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复核明细的付款渠道在付款单状态右侧。其他明细在已选择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下拉，位于付款单状态右侧，默认万里汇，无红色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