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作废不可物理删除；比对排除已作废；复核付款渠道必填，默认万里汇；明细只读字段不使用输入框；操作成功不使用页面顶部横幅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付款渠道必填（红色 *）；确认或退回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付款渠道必填，标签带红色 *，默认万里汇。3. 退回意见写入处理历史，环节为复核。4. 查看模式不展示渠道与意见录入，底栏仅【关闭】。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垫资业务付款申请 / 物流费付款申请 / 【线下】采购合同及付款申请 （一次付款/首款/中期款/尾款） - 系统结算 / 日常付款 / 报销申请 / 电商业务付款申请 / 【线下】采购合同及付款申请 （一次付款/首款/中期款/尾款） / 知识产权事务申请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复核确认时必填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已选后在基础信息展示；复核编辑态为下拉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已选择付款渠道时，在申请时间后展示付款渠道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下拉，必填，红色 *，默认万里汇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