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作废不可物理删除；比对排除已作废；复核付款渠道位于付款单状态右侧，纯文本，默认万里汇；明细只读字段不使用输入框；操作成功不使用页面顶部横幅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付款渠道在付款单状态右侧，纯文本，默认万里汇；【复核确认】或退回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付款渠道位于付款单状态右侧，纯文本，默认万里汇，无下拉框、无红色 *。3. 退回意见写入处理历史，环节为复核。4.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垫资业务付款申请 / 物流费付款申请 / 【线下】采购合同及付款申请 （一次付款/首款/中期款/尾款） - 系统结算 / 日常付款 / 报销申请 / 电商业务付款申请 / 【线下】采购合同及付款申请 （一次付款/首款/中期款/尾款） / 知识产权事务申请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复核明细位于付款单状态右侧，纯文本，默认万里汇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复核岗选择付款渠道（默认万里汇），【复核确认】后进入待付款。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纯文本；未选择时为空。查询明细在已选择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纯文本，位于付款单状态右侧；未选择为空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纯文本，位于付款单状态右侧，默认万里汇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