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付款渠道必填，标签带红色 *，默认万里汇。3. 退回意见写入处理历史，环节为复核。4. 查看模式不展示渠道与意见录入，底栏仅【关闭】。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垫资业务付款申请 / 物流费付款申请 / 【线下】采购合同及付款申请 （一次付款/首款/中期款/尾款） - 系统结算 / 日常付款 / 报销申请 / 电商业务付款申请 / 【线下】采购合同及付款申请 （一次付款/首款/中期款/尾款） / 知识产权事务申请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已选后在基础信息展示；复核编辑态为下拉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复核岗选择付款渠道（默认万里汇），【复核确认】后进入待付款。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已选择付款渠道时，在申请时间后展示付款渠道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下拉，必填，红色 *，默认万里汇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