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时序和截面策略组合</w:t>
      </w:r>
    </w:p>
    <w:p>
      <w:pPr>
        <w:jc w:val="both"/>
        <w:rPr>
          <w:rFonts w:hint="eastAsia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策略回测（训练集，无杠杆）：</w:t>
      </w:r>
    </w:p>
    <w:p>
      <w:pPr>
        <w:jc w:val="both"/>
        <w:rPr>
          <w:rFonts w:hint="eastAsia"/>
          <w:lang w:val="en-US" w:eastAsia="zh-CN"/>
        </w:rPr>
      </w:pPr>
      <w:bookmarkStart w:id="0" w:name="_GoBack"/>
      <w:bookmarkEnd w:id="0"/>
    </w:p>
    <w:tbl>
      <w:tblPr>
        <w:tblStyle w:val="2"/>
        <w:tblW w:w="756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06"/>
        <w:gridCol w:w="1296"/>
        <w:gridCol w:w="1206"/>
        <w:gridCol w:w="1206"/>
        <w:gridCol w:w="1206"/>
        <w:gridCol w:w="1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年份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策略收益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最大回撤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夏普率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波动率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Calmar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月度胜率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0.079197467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-0.018279575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2.324105781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0.029910277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4.332566149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0.545454545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0.15308739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-0.008326374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2.376760038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0.054140766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18.38584079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0.916666667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0.127799431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-0.027207866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3.110407678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0.031397692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4.697150127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0.833333333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0.150737555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-0.00906693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3.236497826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0.037902436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16.62498288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0.916666667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0.123929139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-0.02161658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2.255925293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0.042690163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5.733059522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0.076842135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-0.025629796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1.83853464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0.033656863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2.998156272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0.916666667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0.104654077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-0.012744847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2.919960164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0.029020968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8.211481791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2019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0.052998657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-0.040312045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1.453902302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0.027954125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1.314710224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2020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0.179085523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-0.012325608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3.644268987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0.038583482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14.52954905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0.833333333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年化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0.116481264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-0.040312045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3.864968421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0.041454241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2.889490347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0.792087542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305425" cy="2731135"/>
            <wp:effectExtent l="0" t="0" r="3175" b="12065"/>
            <wp:docPr id="1" name="图片 1" descr="16804995977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804995977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策略回测（测试集，无杠杆）：</w:t>
      </w:r>
    </w:p>
    <w:p>
      <w:pPr>
        <w:jc w:val="both"/>
        <w:rPr>
          <w:rFonts w:hint="default"/>
          <w:lang w:val="en-US" w:eastAsia="zh-CN"/>
        </w:rPr>
      </w:pPr>
    </w:p>
    <w:tbl>
      <w:tblPr>
        <w:tblStyle w:val="2"/>
        <w:tblW w:w="7560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206"/>
        <w:gridCol w:w="1296"/>
        <w:gridCol w:w="1206"/>
        <w:gridCol w:w="1206"/>
        <w:gridCol w:w="1206"/>
        <w:gridCol w:w="12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年份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策略收益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最大回撤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夏普率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波动率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Calmar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月度胜率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0.184770685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-0.023924241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3.04332047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0.046870702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7.723157622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0.833333333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2022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0.058899807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-0.03434247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1.235281523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0.040925184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1.715071973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0.666666667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年化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0.121835246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-0.03434247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2.366432426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0.089004151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3.547655351</w:t>
            </w:r>
          </w:p>
        </w:tc>
        <w:tc>
          <w:tcPr>
            <w:tcW w:w="1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0.75</w:t>
            </w:r>
          </w:p>
        </w:tc>
      </w:tr>
    </w:tbl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27675" cy="2889885"/>
            <wp:effectExtent l="0" t="0" r="9525" b="5715"/>
            <wp:docPr id="2" name="图片 2" descr="1680499683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8049968334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000000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Theme="minorEastAsia" w:hAnsiTheme="minorEastAsia" w:eastAsiaTheme="minorEastAsia" w:cstheme="minorEastAsia"/>
          <w:color w:val="000000"/>
          <w:kern w:val="0"/>
          <w:sz w:val="20"/>
          <w:szCs w:val="20"/>
          <w:lang w:val="en-US" w:eastAsia="zh-CN" w:bidi="ar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jODI2MjExYzgxMmQ5OTIyMGE5MTZiOWM3NmZjZTQifQ=="/>
  </w:docVars>
  <w:rsids>
    <w:rsidRoot w:val="00172A27"/>
    <w:rsid w:val="06391EC9"/>
    <w:rsid w:val="06BB1455"/>
    <w:rsid w:val="0BCA00E8"/>
    <w:rsid w:val="18604564"/>
    <w:rsid w:val="1E956A8C"/>
    <w:rsid w:val="386C7935"/>
    <w:rsid w:val="538805F3"/>
    <w:rsid w:val="6BCF0994"/>
    <w:rsid w:val="769126AF"/>
    <w:rsid w:val="7799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172</Words>
  <Characters>977</Characters>
  <Lines>0</Lines>
  <Paragraphs>0</Paragraphs>
  <TotalTime>1</TotalTime>
  <ScaleCrop>false</ScaleCrop>
  <LinksUpToDate>false</LinksUpToDate>
  <CharactersWithSpaces>977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2023-03-12T08:25:00Z</dcterms:created>
  <dc:creator>Administrator</dc:creator>
  <cp:lastModifiedBy>钟诚</cp:lastModifiedBy>
  <dcterms:modified xsi:type="dcterms:W3CDTF">2023-04-03T05:41:06Z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3AAD9CDCD874426B8D34BA22E1D8F5C3</vt:lpwstr>
  </property>
</Properties>
</file>