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  <w:t xml:space="preserve"> </w:t>
      </w:r>
      <w: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-89535</wp:posOffset>
                </wp:positionV>
                <wp:extent cx="3314700" cy="78295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7829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hint="eastAsia"/>
                                <w:sz w:val="36"/>
                                <w:szCs w:val="36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成 交 确 认 书</w:t>
                            </w:r>
                          </w:p>
                          <w:p>
                            <w:pPr>
                              <w:pStyle w:val="Heading1"/>
                              <w:ind w:hanging="0" w:start="0"/>
                              <w:rPr>
                                <w:rFonts w:hint="eastAsia"/>
                                <w:sz w:val="36"/>
                                <w:szCs w:val="36"/>
                              </w:rPr>
                              <w:spacing w:before="0" w:after="0" w:line="240" w:lineRule="auto"/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SALES CONFIRMATION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61pt;height:61.65pt;mso-wrap-distance-left:9.05pt;mso-wrap-distance-right:9.05pt;mso-wrap-distance-top:0pt;mso-wrap-distance-bottom:0pt;margin-top:-7.05pt;mso-position-vertical-relative:text;margin-left:4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hint="eastAsia"/>
                          <w:sz w:val="36"/>
                          <w:szCs w:val="36"/>
                        </w:rPr>
                        <w:spacing w:before="0" w:after="0" w:line="240" w:lineRule="auto"/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成 交 确 认 书</w:t>
                      </w:r>
                    </w:p>
                    <w:p>
                      <w:pPr>
                        <w:pStyle w:val="Heading1"/>
                        <w:ind w:hanging="0" w:start="0"/>
                        <w:rPr>
                          <w:rFonts w:hint="eastAsia"/>
                          <w:sz w:val="36"/>
                          <w:szCs w:val="36"/>
                        </w:rPr>
                        <w:spacing w:before="0" w:after="0" w:line="240" w:lineRule="auto"/>
                      </w:pPr>
                      <w:r>
                        <w:rPr>
                          <w:rFonts w:hint="eastAsia"/>
                          <w:sz w:val="36"/>
                          <w:szCs w:val="36"/>
                        </w:rPr>
                        <w:t>SALES CONFIRMATION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</w:r>
    </w:p>
    <w:p>
      <w:pPr>
        <w:pStyle w:val="Normal"/>
        <w:ind w:firstLineChars="740" w:startChars="0" w:start="0" w:endChars="0" w:end="0"/>
        <w:rPr>
          <w:rFonts w:hint="eastAsia"/>
          <w:sz w:val="19"/>
          <w:szCs w:val="19"/>
        </w:rPr>
      </w:pPr>
      <w:r>
        <w:rPr>
          <w:rFonts w:hint="eastAsia"/>
          <w:sz w:val="19"/>
          <w:szCs w:val="19"/>
        </w:rPr>
      </w:r>
    </w:p>
    <w:tbl>
      <w:tblPr>
        <w:tblW w:w="10420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1080"/>
        <w:gridCol w:w="3780"/>
        <w:gridCol w:w="1260"/>
        <w:gridCol w:w="1260"/>
        <w:gridCol w:w="180"/>
        <w:gridCol w:w="1080"/>
        <w:gridCol w:w="1620"/>
        <w:gridCol w:w="52"/>
      </w:tblGrid>
      <w:tr>
        <w:trPr>
          <w:trHeight w:val="2637" w:hRule="atLeast"/>
          <w:cantSplit/>
        </w:trPr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7560" w:type="dxa"/>
            <w:gridSpan w:val="5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exact" w:line="260"/>
              <w:rPr>
                <w:rFonts w:hint="eastAsia"/>
                <w:sz w:val="16"/>
                <w:szCs w:val="16"/>
                <w:lang w:val="en-US" w:eastAsia="en-US"/>
              </w:rPr>
            </w:pPr>
            <w:r>
              <w:rPr>
                <w:rFonts w:hint="eastAsia"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17" behindDoc="0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80010</wp:posOffset>
                      </wp:positionV>
                      <wp:extent cx="3420110" cy="0"/>
                      <wp:effectExtent l="0" t="5080" r="0" b="5080"/>
                      <wp:wrapNone/>
                      <wp:docPr id="2" name="直线 4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0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7.3pt,6.3pt" to="306.55pt,6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卖  方</w:t>
            </w:r>
            <w:r>
              <w:rPr>
                <w:rFonts w:hint="eastAsia"/>
                <w:sz w:val="16"/>
                <w:szCs w:val="16"/>
              </w:rPr>
              <w:t>：东莞市锋铭实业有限公司</w:t>
            </w:r>
          </w:p>
          <w:p>
            <w:pPr>
              <w:pStyle w:val="Normal"/>
              <w:tabs>
                <w:tab w:val="clear" w:pos="420"/>
                <w:tab w:val="left" w:pos="432" w:leader="none"/>
              </w:tabs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Sellers</w:t>
            </w:r>
            <w:r>
              <w:rPr>
                <w:rFonts w:hint="eastAsia"/>
                <w:sz w:val="16"/>
                <w:szCs w:val="16"/>
              </w:rPr>
              <w:t xml:space="preserve">： 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地  址</w:t>
            </w:r>
            <w:r>
              <w:rPr>
                <w:rFonts w:hint="eastAsia"/>
                <w:sz w:val="16"/>
                <w:szCs w:val="16"/>
              </w:rPr>
              <w:t xml:space="preserve">：东莞市长安镇乌沙                            电话         </w:t>
            </w:r>
            <w:r>
              <w:rPr>
                <w:rFonts w:hint="eastAsia"/>
                <w:sz w:val="16"/>
                <w:szCs w:val="16"/>
              </w:rPr>
              <w:t>0769-81666101</w:t>
            </w:r>
          </w:p>
          <w:p>
            <w:pPr>
              <w:pStyle w:val="Normal"/>
              <w:spacing w:lineRule="exact" w:line="260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3931920</wp:posOffset>
                      </wp:positionH>
                      <wp:positionV relativeFrom="paragraph">
                        <wp:posOffset>139065</wp:posOffset>
                      </wp:positionV>
                      <wp:extent cx="685800" cy="0"/>
                      <wp:effectExtent l="0" t="5080" r="0" b="5080"/>
                      <wp:wrapNone/>
                      <wp:docPr id="3" name="直线 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09.6pt,10.95pt" to="363.55pt,10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pacing w:val="-20"/>
                <w:sz w:val="16"/>
                <w:szCs w:val="16"/>
              </w:rPr>
              <w:t xml:space="preserve">                                                                      </w:t>
            </w:r>
            <w:r>
              <w:rPr>
                <w:rFonts w:hint="eastAsia"/>
                <w:sz w:val="16"/>
                <w:szCs w:val="16"/>
              </w:rPr>
              <w:t xml:space="preserve">      </w:t>
            </w:r>
            <w:r>
              <w:rPr>
                <w:rFonts w:hint="eastAsia"/>
                <w:sz w:val="16"/>
                <w:szCs w:val="16"/>
              </w:rPr>
              <w:t>Telephone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买  方</w:t>
            </w:r>
            <w:r>
              <w:rPr>
                <w:rFonts w:hint="eastAsia"/>
                <w:sz w:val="16"/>
                <w:szCs w:val="16"/>
              </w:rPr>
              <w:t>：                                              电话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3935095</wp:posOffset>
                      </wp:positionH>
                      <wp:positionV relativeFrom="paragraph">
                        <wp:posOffset>132715</wp:posOffset>
                      </wp:positionV>
                      <wp:extent cx="685800" cy="0"/>
                      <wp:effectExtent l="0" t="5080" r="0" b="5080"/>
                      <wp:wrapNone/>
                      <wp:docPr id="4" name="直线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09.85pt,10.45pt" to="363.8pt,10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Buyers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6"/>
                <w:szCs w:val="16"/>
              </w:rPr>
              <w:t xml:space="preserve">{{BUYER}} </w:t>
            </w:r>
            <w:r>
              <w:rPr>
                <w:rFonts w:hint="eastAsia"/>
                <w:sz w:val="16"/>
                <w:szCs w:val="16"/>
              </w:rPr>
              <w:t xml:space="preserve">                         </w:t>
            </w:r>
            <w:r>
              <w:rPr>
                <w:rFonts w:hint="eastAsia"/>
                <w:sz w:val="16"/>
                <w:szCs w:val="16"/>
              </w:rPr>
              <w:t>Telephone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sz w:val="15"/>
                <w:szCs w:val="15"/>
              </w:rPr>
              <w:t>{{BUYER_PHONE}}</w:t>
            </w:r>
          </w:p>
          <w:p>
            <w:pPr>
              <w:pStyle w:val="Normal"/>
              <w:spacing w:lineRule="exact" w:line="260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441325</wp:posOffset>
                      </wp:positionH>
                      <wp:positionV relativeFrom="paragraph">
                        <wp:posOffset>5080</wp:posOffset>
                      </wp:positionV>
                      <wp:extent cx="2628265" cy="3175"/>
                      <wp:effectExtent l="635" t="5080" r="635" b="5080"/>
                      <wp:wrapNone/>
                      <wp:docPr id="5" name="直线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28360" cy="324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4.75pt,0.4pt" to="241.65pt,0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b/>
                <w:bCs/>
                <w:sz w:val="16"/>
                <w:szCs w:val="16"/>
              </w:rPr>
              <w:t>地  址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widowControl/>
              <w:spacing w:lineRule="exact" w:line="260"/>
              <w:jc w:val="start"/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160020</wp:posOffset>
                      </wp:positionV>
                      <wp:extent cx="3599815" cy="0"/>
                      <wp:effectExtent l="0" t="5080" r="0" b="5080"/>
                      <wp:wrapNone/>
                      <wp:docPr id="6" name="直线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9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9.6pt,12.6pt" to="323pt,12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Address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5"/>
                <w:szCs w:val="15"/>
              </w:rPr>
              <w:t>{{BUYER_ADDRESS}}</w:t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</w:r>
            <w:r>
              <w:rPr>
                <w:rFonts w:hint="eastAsia"/>
                <w:sz w:val="15"/>
                <w:szCs w:val="15"/>
              </w:rPr>
              <w:t xml:space="preserve">  </w:t>
            </w:r>
            <w:r>
              <w:rPr>
                <w:rFonts w:hint="eastAsia"/>
                <w:sz w:val="16"/>
                <w:szCs w:val="16"/>
              </w:rPr>
              <w:t xml:space="preserve">  </w:t>
            </w:r>
          </w:p>
          <w:p>
            <w:pPr>
              <w:pStyle w:val="Normal"/>
              <w:widowControl/>
              <w:spacing w:lineRule="exact" w:line="260"/>
              <w:jc w:val="star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</w:t>
            </w:r>
            <w:r>
              <w:rPr>
                <w:rFonts w:hint="eastAsia"/>
                <w:sz w:val="16"/>
                <w:szCs w:val="16"/>
              </w:rPr>
              <w:t>(For Account of  Messrs</w:t>
            </w:r>
            <w:r>
              <w:rPr>
                <w:rFonts w:hint="eastAsia"/>
                <w:sz w:val="16"/>
                <w:szCs w:val="16"/>
              </w:rPr>
              <w:t xml:space="preserve">： </w:t>
            </w:r>
            <w:r>
              <w:rPr>
                <w:rFonts w:hint="eastAsia"/>
                <w:sz w:val="16"/>
                <w:szCs w:val="16"/>
              </w:rPr>
              <w:t>)</w:t>
            </w:r>
          </w:p>
          <w:p>
            <w:pPr>
              <w:pStyle w:val="Normal"/>
              <w:widowControl/>
              <w:spacing w:lineRule="exact" w:line="260"/>
              <w:jc w:val="start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</w:t>
            </w:r>
            <w:r>
              <w:rPr>
                <w:rFonts w:hint="eastAsia"/>
                <w:sz w:val="16"/>
                <w:szCs w:val="16"/>
              </w:rPr>
              <w:t>兹经买卖双方同意成交下列商品订立条款如下：</w:t>
            </w:r>
          </w:p>
        </w:tc>
        <w:tc>
          <w:tcPr>
            <w:tcW w:w="2700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号码 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No.:   </w:t>
            </w:r>
            <w:r>
              <w:rPr>
                <w:sz w:val="16"/>
                <w:szCs w:val="16"/>
              </w:rPr>
              <w:t>{{CONTRACT}}</w:t>
            </w: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  <w:lang w:val="en-US" w:eastAsia="en-US"/>
              </w:rPr>
            </w:pPr>
            <w:r>
              <w:rPr>
                <w:rFonts w:hint="eastAsia"/>
                <w:sz w:val="16"/>
                <w:szCs w:val="16"/>
                <w:lang w:val="en-US" w:eastAsia="en-US"/>
              </w:rPr>
              <mc:AlternateContent>
                <mc:Choice Requires="wps">
                  <w:drawing>
                    <wp:anchor distT="0" distB="0" distL="114935" distR="114935" simplePos="0" relativeHeight="6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8890</wp:posOffset>
                      </wp:positionV>
                      <wp:extent cx="1367790" cy="0"/>
                      <wp:effectExtent l="0" t="5080" r="0" b="5080"/>
                      <wp:wrapNone/>
                      <wp:docPr id="7" name="直线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0.7pt" to="129.25pt,0.7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日期</w:t>
            </w:r>
          </w:p>
          <w:p>
            <w:pPr>
              <w:pStyle w:val="Normal"/>
              <w:spacing w:lineRule="exact" w:line="260"/>
              <w:rPr/>
            </w:pPr>
            <w:r>
              <w:rPr>
                <w:rFonts w:hint="eastAsia"/>
                <w:sz w:val="16"/>
                <w:szCs w:val="16"/>
              </w:rPr>
              <w:t>Date</w:t>
            </w:r>
            <w:r>
              <w:rPr>
                <w:rFonts w:hint="eastAsia"/>
                <w:sz w:val="16"/>
                <w:szCs w:val="16"/>
              </w:rPr>
              <w:t>：</w:t>
            </w:r>
            <w:r>
              <w:rPr>
                <w:rFonts w:hint="eastAsia"/>
                <w:sz w:val="16"/>
                <w:szCs w:val="16"/>
              </w:rPr>
              <w:t>{{CONTRACT_DATE}}</w:t>
            </w:r>
            <w:r>
              <w:rPr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  <w:r>
              <w:rPr>
                <w:rFonts w:hint="eastAsia"/>
                <w:sz w:val="16"/>
                <w:szCs w:val="16"/>
              </w:rPr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7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13970</wp:posOffset>
                      </wp:positionV>
                      <wp:extent cx="1367790" cy="0"/>
                      <wp:effectExtent l="0" t="5080" r="0" b="5080"/>
                      <wp:wrapNone/>
                      <wp:docPr id="8" name="直线 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1.1pt" to="129.25pt,1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签约地点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Signed at</w:t>
            </w:r>
            <w:r>
              <w:rPr>
                <w:rFonts w:hint="eastAsia"/>
                <w:sz w:val="16"/>
                <w:szCs w:val="16"/>
              </w:rPr>
              <w:t>：东莞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8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635</wp:posOffset>
                      </wp:positionV>
                      <wp:extent cx="1151890" cy="0"/>
                      <wp:effectExtent l="0" t="5080" r="0" b="5080"/>
                      <wp:wrapNone/>
                      <wp:docPr id="9" name="直线 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.9pt,0pt" to="129.55pt,0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传真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9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132080</wp:posOffset>
                      </wp:positionV>
                      <wp:extent cx="1367790" cy="0"/>
                      <wp:effectExtent l="0" t="5080" r="0" b="5080"/>
                      <wp:wrapNone/>
                      <wp:docPr id="10" name="直线 1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10.4pt" to="129.25pt,10.4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传真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5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125730</wp:posOffset>
                      </wp:positionV>
                      <wp:extent cx="1367790" cy="0"/>
                      <wp:effectExtent l="0" t="5080" r="0" b="5080"/>
                      <wp:wrapNone/>
                      <wp:docPr id="11" name="直线 1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764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21.6pt,9.9pt" to="129.25pt,9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Fax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经办人</w:t>
            </w:r>
          </w:p>
          <w:p>
            <w:pPr>
              <w:pStyle w:val="Normal"/>
              <w:spacing w:lineRule="exact" w:line="260"/>
              <w:rPr>
                <w:rFonts w:hint="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10" behindDoc="0" locked="0" layoutInCell="1" allowOverlap="1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149860</wp:posOffset>
                      </wp:positionV>
                      <wp:extent cx="828040" cy="0"/>
                      <wp:effectExtent l="0" t="5080" r="0" b="5080"/>
                      <wp:wrapNone/>
                      <wp:docPr id="12" name="直线 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00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2.85pt,11.8pt" to="128pt,11.8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hint="eastAsia"/>
                <w:sz w:val="16"/>
                <w:szCs w:val="16"/>
              </w:rPr>
              <w:t>Person handling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  <w:tc>
          <w:tcPr>
            <w:tcW w:w="52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</w:tr>
      <w:tr>
        <w:trPr>
          <w:trHeight w:val="315" w:hRule="atLeast"/>
          <w:cantSplit/>
        </w:trPr>
        <w:tc>
          <w:tcPr>
            <w:tcW w:w="108" w:type="dxa"/>
            <w:tcBorders/>
          </w:tcPr>
          <w:p>
            <w:pPr>
              <w:pStyle w:val="TableContents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  <w:tc>
          <w:tcPr>
            <w:tcW w:w="10260" w:type="dxa"/>
            <w:gridSpan w:val="7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pacing w:lineRule="exact" w:line="260"/>
              <w:ind w:firstLineChars="340" w:startChars="0" w:start="0" w:endChars="0" w:end="0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The undersigned Sellers and Buyers have agreed to close the following transactions according to the terms and com-ditions sipulated below</w:t>
            </w:r>
            <w:r>
              <w:rPr>
                <w:rFonts w:hint="eastAsia"/>
                <w:sz w:val="16"/>
                <w:szCs w:val="16"/>
              </w:rPr>
              <w:t>：</w:t>
            </w:r>
          </w:p>
        </w:tc>
        <w:tc>
          <w:tcPr>
            <w:tcW w:w="52" w:type="dxa"/>
            <w:tcBorders/>
          </w:tcPr>
          <w:p>
            <w:pPr>
              <w:pStyle w:val="Normal"/>
              <w:snapToGrid w:val="false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</w:r>
          </w:p>
        </w:tc>
      </w:tr>
      <w:tr>
        <w:trPr>
          <w:tblHeader/>
        </w:trPr>
        <w:tc>
          <w:tcPr>
            <w:tcW w:w="1188" w:type="dxa"/>
            <w:gridSpan w:val="2"/>
            <w:tcBorders>
              <w:top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品 号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Quality No</w:t>
            </w:r>
          </w:p>
        </w:tc>
        <w:tc>
          <w:tcPr>
            <w:tcW w:w="378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商品名称规格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Name of Commodity and Specification</w:t>
            </w:r>
          </w:p>
        </w:tc>
        <w:tc>
          <w:tcPr>
            <w:tcW w:w="12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数  量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260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单  价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Unit Price</w:t>
            </w:r>
          </w:p>
        </w:tc>
        <w:tc>
          <w:tcPr>
            <w:tcW w:w="1260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420"/>
                <w:tab w:val="left" w:pos="360" w:leader="none"/>
              </w:tabs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金  额</w:t>
            </w:r>
          </w:p>
          <w:p>
            <w:pPr>
              <w:pStyle w:val="Normal"/>
              <w:spacing w:lineRule="exact" w:line="240"/>
              <w:jc w:val="center"/>
              <w:rPr/>
            </w:pPr>
            <w:r>
              <w:rPr>
                <w:rFonts w:hint="eastAsia"/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1672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（</w:t>
            </w:r>
            <w:r>
              <w:rPr>
                <w:rFonts w:hint="eastAsia"/>
                <w:b/>
                <w:bCs/>
                <w:sz w:val="16"/>
                <w:szCs w:val="16"/>
              </w:rPr>
              <w:t>6</w:t>
            </w:r>
            <w:r>
              <w:rPr>
                <w:rFonts w:hint="eastAsia"/>
                <w:b/>
                <w:bCs/>
                <w:sz w:val="16"/>
                <w:szCs w:val="16"/>
              </w:rPr>
              <w:t>）装运期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Time of Shipmet</w:t>
            </w:r>
          </w:p>
        </w:tc>
      </w:tr>
      <w:tr>
        <w:trPr>
          <w:trHeight w:hRule="atLeast"/>
        </w:trPr>
        <w:tc>
          <w:tcPr>
            <w:tcW w:w="118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  <w:tc>
          <w:tcPr>
            <w:tcW w:w="37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  <w:tc>
          <w:tcPr>
            <w:tcW w:w="16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</w:tcPr>
          <w:p>
            <w:r/>
          </w:p>
        </w:tc>
      </w:tr>
      <w:tr>
        <w:trPr>
          <w:trHeight w:val="316" w:hRule="atLeast"/>
          <w:cantSplit/>
        </w:trPr>
        <w:tc>
          <w:tcPr>
            <w:tcW w:w="4968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数量及总值均得有             </w:t>
            </w:r>
            <w:r>
              <w:rPr>
                <w:rFonts w:hint="eastAsia"/>
                <w:sz w:val="16"/>
                <w:szCs w:val="16"/>
              </w:rPr>
              <w:t>%</w:t>
            </w:r>
            <w:r>
              <w:rPr>
                <w:rFonts w:hint="eastAsia"/>
                <w:sz w:val="16"/>
                <w:szCs w:val="16"/>
              </w:rPr>
              <w:t>的增减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Amount and quantity       %more or less allowed</w:t>
            </w:r>
          </w:p>
        </w:tc>
        <w:tc>
          <w:tcPr>
            <w:tcW w:w="25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ind w:firstLineChars="245" w:startChars="0" w:start="0" w:endChars="0" w:end="0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总    值</w:t>
            </w:r>
          </w:p>
          <w:p>
            <w:pPr>
              <w:pStyle w:val="Normal"/>
              <w:spacing w:lineRule="exact" w:line="240"/>
              <w:jc w:val="center"/>
              <w:rPr>
                <w:rFonts w:hint="eastAsia"/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Total Amount</w:t>
            </w:r>
          </w:p>
        </w:tc>
        <w:tc>
          <w:tcPr>
            <w:tcW w:w="2932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exact" w:line="240"/>
              <w:rPr>
                <w:rFonts w:hint="eastAsia"/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{{TOTAL}}</w:t>
            </w:r>
          </w:p>
        </w:tc>
      </w:tr>
    </w:tbl>
    <w:p>
      <w:pPr>
        <w:pStyle w:val="Normal"/>
        <w:numPr>
          <w:ilvl w:val="0"/>
          <w:numId w:val="2"/>
        </w:numPr>
        <w:spacing w:lineRule="exact" w:line="280"/>
        <w:rPr>
          <w:rFonts w:hint="eastAsia"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装 运 口 岸 和 目 的 地</w:t>
      </w:r>
      <w:r>
        <w:rPr>
          <w:rFonts w:hint="eastAsia"/>
          <w:sz w:val="16"/>
          <w:szCs w:val="16"/>
        </w:rPr>
        <w:t>：东莞</w:t>
      </w:r>
      <w:r>
        <w:rPr>
          <w:rFonts w:hint="eastAsia"/>
          <w:sz w:val="16"/>
          <w:szCs w:val="16"/>
        </w:rPr>
        <w:t>-</w:t>
      </w:r>
      <w:r>
        <w:rPr>
          <w:rFonts w:hint="eastAsia"/>
          <w:sz w:val="16"/>
          <w:szCs w:val="16"/>
        </w:rPr>
        <w:t>{{DESTINATION}}</w:t>
      </w:r>
    </w:p>
    <w:p>
      <w:pPr>
        <w:pStyle w:val="Normal"/>
        <w:spacing w:lineRule="exact" w:line="28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</w:t>
      </w:r>
      <w:r>
        <w:rPr>
          <w:rFonts w:hint="eastAsia"/>
          <w:sz w:val="16"/>
          <w:szCs w:val="16"/>
        </w:rPr>
        <w:t>Loading Port and Destination</w:t>
      </w:r>
      <w:r>
        <w:rPr>
          <w:rFonts w:hint="eastAsia"/>
          <w:sz w:val="16"/>
          <w:szCs w:val="16"/>
        </w:rPr>
        <w:t>：</w:t>
      </w:r>
    </w:p>
    <w:p>
      <w:pPr>
        <w:pStyle w:val="Normal"/>
        <w:spacing w:lineRule="exact" w:line="240"/>
        <w:rPr/>
      </w:pPr>
      <w:r>
        <w:rPr>
          <w:rFonts w:hint="eastAsia"/>
          <w:b/>
          <w:bCs/>
          <w:sz w:val="16"/>
          <w:szCs w:val="16"/>
        </w:rPr>
        <w:t>（</w:t>
      </w:r>
      <w:r>
        <w:rPr>
          <w:rFonts w:hint="eastAsia"/>
          <w:b/>
          <w:bCs/>
          <w:sz w:val="16"/>
          <w:szCs w:val="16"/>
        </w:rPr>
        <w:t>8</w:t>
      </w:r>
      <w:r>
        <w:rPr>
          <w:rFonts w:hint="eastAsia"/>
          <w:b/>
          <w:bCs/>
          <w:sz w:val="16"/>
          <w:szCs w:val="16"/>
        </w:rPr>
        <w:t>）付 款 条 件</w:t>
      </w:r>
      <w:r>
        <w:rPr>
          <w:rFonts w:hint="eastAsia"/>
          <w:sz w:val="16"/>
          <w:szCs w:val="16"/>
        </w:rPr>
        <w:t xml:space="preserve">：买方应按本确认书所规定装运期开始的前       天开到凭见票      天付款的、不可撤销的信用证。信用证应规定数量和金额允许有      </w:t>
      </w:r>
      <w:r>
        <w:rPr>
          <w:rFonts w:hint="eastAsia"/>
          <w:sz w:val="16"/>
          <w:szCs w:val="16"/>
        </w:rPr>
        <w:t>%</w:t>
      </w:r>
      <w:r>
        <w:rPr>
          <w:rFonts w:hint="eastAsia"/>
          <w:sz w:val="16"/>
          <w:szCs w:val="16"/>
        </w:rPr>
        <w:t>增减。信用证的议付有效期应规定在最后装运期后至少      天在出运口岸到期。信用证应规定允许分批装运和转动。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135890</wp:posOffset>
                </wp:positionV>
                <wp:extent cx="1485900" cy="0"/>
                <wp:effectExtent l="0" t="5080" r="0" b="5080"/>
                <wp:wrapNone/>
                <wp:docPr id="13" name="直线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88.75pt,10.7pt" to="405.7pt,10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>Terms of Payment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The buyers shall open irrevocable L/C, available by draf at                           ,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2847975</wp:posOffset>
                </wp:positionH>
                <wp:positionV relativeFrom="paragraph">
                  <wp:posOffset>145415</wp:posOffset>
                </wp:positionV>
                <wp:extent cx="685800" cy="0"/>
                <wp:effectExtent l="0" t="5080" r="0" b="5080"/>
                <wp:wrapNone/>
                <wp:docPr id="14" name="直线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25pt,11.45pt" to="278.2pt,11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>in favour ofand to and toreach the Sellers            days befor the stipulated month</w:t>
      </w:r>
    </w:p>
    <w:p>
      <w:pPr>
        <w:pStyle w:val="Normal"/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2676525</wp:posOffset>
                </wp:positionH>
                <wp:positionV relativeFrom="paragraph">
                  <wp:posOffset>135890</wp:posOffset>
                </wp:positionV>
                <wp:extent cx="685800" cy="0"/>
                <wp:effectExtent l="0" t="5080" r="0" b="5080"/>
                <wp:wrapNone/>
                <wp:docPr id="15" name="直线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0.75pt,10.7pt" to="264.7pt,10.7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>of shipment.The L/C shall stipulate</w:t>
      </w:r>
      <w:r>
        <w:rPr>
          <w:rFonts w:hint="eastAsia"/>
          <w:sz w:val="16"/>
          <w:szCs w:val="16"/>
        </w:rPr>
        <w:t xml:space="preserve">：            </w:t>
      </w:r>
      <w:r>
        <w:rPr>
          <w:rFonts w:hint="eastAsia"/>
          <w:sz w:val="16"/>
          <w:szCs w:val="16"/>
        </w:rPr>
        <w:t>%more or less in amount and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>
          <w:rFonts w:hint="eastAsia"/>
          <w:sz w:val="16"/>
          <w:szCs w:val="16"/>
        </w:rPr>
      </w:pPr>
      <w: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124460</wp:posOffset>
                </wp:positionV>
                <wp:extent cx="685800" cy="0"/>
                <wp:effectExtent l="0" t="5080" r="0" b="5080"/>
                <wp:wrapNone/>
                <wp:docPr id="16" name="直线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0.75pt,9.8pt" to="384.7pt,9.8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 xml:space="preserve">quantity is allowed, valid for megotiatiom in the loading port until the </w:t>
      </w:r>
      <w:r>
        <w:rPr>
          <w:sz w:val="16"/>
          <w:szCs w:val="16"/>
        </w:rPr>
        <w:tab/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/>
      </w:pPr>
      <w:r>
        <w:rPr>
          <w:rFonts w:hint="eastAsia"/>
          <w:sz w:val="16"/>
          <w:szCs w:val="16"/>
        </w:rPr>
        <w:t xml:space="preserve">                 </w:t>
      </w:r>
      <w:r>
        <w:rPr>
          <w:rFonts w:hint="eastAsia"/>
          <w:sz w:val="16"/>
          <w:szCs w:val="16"/>
        </w:rPr>
        <w:t xml:space="preserve">day after the date of final shipment of cargo and, partial shipment and </w:t>
      </w:r>
      <w:r>
        <w:rPr>
          <w:sz w:val="16"/>
          <w:szCs w:val="16"/>
        </w:rPr>
        <w:t>transship</w:t>
      </w:r>
      <w:r>
        <w:rPr>
          <w:rFonts w:hint="eastAsia"/>
          <w:sz w:val="16"/>
          <w:szCs w:val="16"/>
        </w:rPr>
        <w:t>-ment allowed.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(9) </w:t>
      </w:r>
      <w:r>
        <w:rPr>
          <w:rFonts w:hint="eastAsia"/>
          <w:b/>
          <w:bCs/>
          <w:sz w:val="16"/>
          <w:szCs w:val="16"/>
        </w:rPr>
        <w:t>保     险</w:t>
      </w:r>
      <w:r>
        <w:rPr>
          <w:rFonts w:hint="eastAsia"/>
          <w:sz w:val="16"/>
          <w:szCs w:val="16"/>
        </w:rPr>
        <w:t>：由买方按发票金额的</w:t>
      </w:r>
      <w:r>
        <w:rPr>
          <w:rFonts w:hint="eastAsia"/>
          <w:sz w:val="16"/>
          <w:szCs w:val="16"/>
        </w:rPr>
        <w:t>110%</w:t>
      </w:r>
      <w:r>
        <w:rPr>
          <w:rFonts w:hint="eastAsia"/>
          <w:sz w:val="16"/>
          <w:szCs w:val="16"/>
        </w:rPr>
        <w:t>投保一切险及战争险，按照中国人民保险公司海洋运输货物保险和战争险条款负责。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Insurance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Insurance to be effected by the Sellers for 110% of invoice value against All Risks and War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          </w:t>
      </w:r>
      <w:r>
        <w:rPr>
          <w:rFonts w:hint="eastAsia"/>
          <w:sz w:val="16"/>
          <w:szCs w:val="16"/>
        </w:rPr>
        <w:t>Risk as per Ocean Marine Cargo Clauses and War Risk Clauses of The People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s Insurance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     </w:t>
      </w:r>
      <w:r>
        <w:rPr>
          <w:rFonts w:hint="eastAsia"/>
          <w:sz w:val="16"/>
          <w:szCs w:val="16"/>
        </w:rPr>
        <w:t>Company of China.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(10) </w:t>
      </w:r>
      <w:r>
        <w:rPr>
          <w:rFonts w:hint="eastAsia"/>
          <w:b/>
          <w:bCs/>
          <w:sz w:val="16"/>
          <w:szCs w:val="16"/>
        </w:rPr>
        <w:t>包    装</w:t>
      </w:r>
      <w:r>
        <w:rPr>
          <w:rFonts w:hint="eastAsia"/>
          <w:sz w:val="16"/>
          <w:szCs w:val="16"/>
        </w:rPr>
        <w:t>：按卖方一般出口包装。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Packing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toSellers usual export Packing.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b/>
          <w:bCs/>
          <w:sz w:val="16"/>
          <w:szCs w:val="16"/>
        </w:rPr>
        <w:t xml:space="preserve">(11) </w:t>
      </w:r>
      <w:r>
        <w:rPr>
          <w:rFonts w:hint="eastAsia"/>
          <w:b/>
          <w:bCs/>
          <w:sz w:val="16"/>
          <w:szCs w:val="16"/>
        </w:rPr>
        <w:t>装船标记</w:t>
      </w:r>
      <w:r>
        <w:rPr>
          <w:rFonts w:hint="eastAsia"/>
          <w:sz w:val="16"/>
          <w:szCs w:val="16"/>
        </w:rPr>
        <w:t>：按卖方一般出口装船标记刷唛。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     </w:t>
      </w:r>
      <w:r>
        <w:rPr>
          <w:rFonts w:hint="eastAsia"/>
          <w:sz w:val="16"/>
          <w:szCs w:val="16"/>
        </w:rPr>
        <w:t>Shipping Mark</w:t>
      </w:r>
      <w:r>
        <w:rPr>
          <w:rFonts w:hint="eastAsia"/>
          <w:sz w:val="16"/>
          <w:szCs w:val="16"/>
        </w:rPr>
        <w:t>：</w:t>
      </w:r>
      <w:r>
        <w:rPr>
          <w:rFonts w:hint="eastAsia"/>
          <w:sz w:val="16"/>
          <w:szCs w:val="16"/>
        </w:rPr>
        <w:t>According to Sellers</w:t>
      </w:r>
      <w:r>
        <w:rPr>
          <w:sz w:val="16"/>
          <w:szCs w:val="16"/>
        </w:rPr>
        <w:t>’</w:t>
      </w:r>
      <w:r>
        <w:rPr>
          <w:rFonts w:hint="eastAsia"/>
          <w:sz w:val="16"/>
          <w:szCs w:val="16"/>
        </w:rPr>
        <w:t xml:space="preserve"> usual export mark.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(12) </w:t>
      </w:r>
      <w:r>
        <w:rPr>
          <w:rFonts w:hint="eastAsia"/>
          <w:sz w:val="16"/>
          <w:szCs w:val="16"/>
        </w:rPr>
        <w:t>买方应保证其为所提供商标的所有人或有权使用人，并预料到买卖商品出口或可能转出口国家对工业产权的强制性规定。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/>
      </w:pPr>
      <w:r>
        <w:rPr>
          <w:rFonts w:hint="eastAsia"/>
          <w:sz w:val="16"/>
          <w:szCs w:val="16"/>
        </w:rPr>
        <w:t xml:space="preserve">(13) </w:t>
      </w:r>
      <w:r>
        <w:rPr>
          <w:rFonts w:hint="eastAsia"/>
          <w:sz w:val="16"/>
          <w:szCs w:val="16"/>
        </w:rPr>
        <w:t>本协议须卖方法人代表（按权代表）签名后才能生效。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(14) </w:t>
      </w:r>
      <w:r>
        <w:rPr>
          <w:rFonts w:hint="eastAsia"/>
          <w:sz w:val="16"/>
          <w:szCs w:val="16"/>
        </w:rPr>
        <w:t>本合同的解释、争议处理均适用中国法律。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(15) </w:t>
      </w:r>
      <w:r>
        <w:rPr>
          <w:rFonts w:hint="eastAsia"/>
          <w:sz w:val="16"/>
          <w:szCs w:val="16"/>
        </w:rPr>
        <w:t>其   它：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 xml:space="preserve">    </w:t>
      </w:r>
      <w:r>
        <w:rPr>
          <w:rFonts w:hint="eastAsia"/>
          <w:sz w:val="16"/>
          <w:szCs w:val="16"/>
        </w:rPr>
        <w:t>Others</w:t>
      </w:r>
      <w:r>
        <w:rPr>
          <w:rFonts w:hint="eastAsia"/>
          <w:sz w:val="16"/>
          <w:szCs w:val="16"/>
        </w:rPr>
        <w:t>：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hangingChars="580" w:startChars="0" w:start="0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firstLineChars="500" w:startChars="499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卖  方                                                    买  方</w:t>
      </w:r>
    </w:p>
    <w:p>
      <w:pPr>
        <w:pStyle w:val="Normal"/>
        <w:tabs>
          <w:tab w:val="clear" w:pos="420"/>
          <w:tab w:val="left" w:pos="8895" w:leader="none"/>
          <w:tab w:val="left" w:pos="11190" w:leader="none"/>
        </w:tabs>
        <w:spacing w:lineRule="exact" w:line="240"/>
        <w:ind w:firstLineChars="400" w:startChars="499" w:endChars="0" w:end="0"/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The Sellers                                                 The Buyers</w:t>
      </w:r>
    </w:p>
    <w:sectPr>
      <w:headerReference w:type="default" r:id="rId2"/>
      <w:type w:val="nextPage"/>
      <w:pgSz w:w="11906" w:h="16838"/>
      <w:pgMar w:left="851" w:right="851" w:gutter="0" w:header="851" w:top="907" w:footer="0" w:bottom="47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>
        <w:sz w:val="16"/>
        <w:szCs w:val="16"/>
      </w:rPr>
    </w:pPr>
    <w:r>
      <w:rPr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7"/>
      <w:numFmt w:val="decimal"/>
      <w:suff w:val="nothing"/>
      <w:lvlText w:val="（%1）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(%1)"/>
      <w:lvlJc w:val="start"/>
      <w:pPr>
        <w:tabs>
          <w:tab w:val="num" w:pos="360"/>
        </w:tabs>
        <w:ind w:start="360" w:hanging="360"/>
      </w:pPr>
      <w:rPr>
        <w:rFonts w:hint="eastAsia"/>
      </w:rPr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sz w:val="44"/>
    </w:rPr>
  </w:style>
  <w:style w:type="character" w:styleId="WW8Num2z0">
    <w:name w:val="WW8Num2z0"/>
    <w:qFormat/>
    <w:rPr>
      <w:rFonts w:hint="eastAsia"/>
    </w:rPr>
  </w:style>
  <w:style w:type="character" w:styleId="Style13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2008-01-04T12:47:00Z</dcterms:created>
  <dc:creator/>
  <dc:description/>
  <cp:keywords/>
  <dc:language>en-US</dc:language>
  <cp:lastModifiedBy/>
  <cp:lastPrinted>2016-05-31T10:27:00Z</cp:lastPrinted>
  <dcterms:modified xsi:type="dcterms:W3CDTF">2026-04-27T10:10:00Z</dcterms:modified>
  <cp:revision>15</cp:revision>
  <dc:subject/>
  <dc:title>锋铭购销合同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30C276CA4F784089B7AF4FAECEEEF201_12</vt:lpwstr>
  </property>
  <property fmtid="{D5CDD505-2E9C-101B-9397-08002B2CF9AE}" pid="3" name="KSOProductBuildVer">
    <vt:lpwstr>2052-12.1.0.20305</vt:lpwstr>
  </property>
  <property fmtid="{D5CDD505-2E9C-101B-9397-08002B2CF9AE}" pid="4" name="KSOTemplateDocerSaveRecord">
    <vt:lpwstr>eyJoZGlkIjoiNWE5YTk0YTNmZjFjMDkwYTJjMjYyYzk3NDVlOTBmNTEiLCJ1c2VySWQiOiI4NzYxMzMwMTEifQ==</vt:lpwstr>
  </property>
</Properties>
</file>