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C2FAE" w14:textId="26D857C5" w:rsidR="00BA0D03" w:rsidRDefault="004D4728" w:rsidP="00BA0D03">
      <w:pPr>
        <w:pStyle w:val="1"/>
      </w:pPr>
      <w:bookmarkStart w:id="0" w:name="header-n0"/>
      <w:r>
        <w:rPr>
          <w:rFonts w:hint="eastAsia"/>
        </w:rPr>
        <w:t>第十一章</w:t>
      </w:r>
      <w:r>
        <w:rPr>
          <w:rFonts w:hint="eastAsia"/>
        </w:rPr>
        <w:t xml:space="preserve"> </w:t>
      </w:r>
      <w:r>
        <w:t xml:space="preserve"> </w:t>
      </w:r>
      <w:r w:rsidR="00BA0D03">
        <w:t>一阶电路</w:t>
      </w:r>
      <w:bookmarkEnd w:id="0"/>
    </w:p>
    <w:p w14:paraId="0F8DE8AD" w14:textId="77777777" w:rsidR="00BA0D03" w:rsidRDefault="00BA0D03" w:rsidP="00BA0D03">
      <w:pPr>
        <w:pStyle w:val="2"/>
      </w:pPr>
      <w:bookmarkStart w:id="1" w:name="header-n2"/>
      <w:r>
        <w:t xml:space="preserve">11.1 </w:t>
      </w:r>
      <w:r>
        <w:t>动态电路的方程及其初始条件</w:t>
      </w:r>
      <w:bookmarkEnd w:id="1"/>
    </w:p>
    <w:p w14:paraId="5223ECBE" w14:textId="77777777" w:rsidR="00BA0D03" w:rsidRDefault="00BA0D03" w:rsidP="00BA0D03">
      <w:pPr>
        <w:pStyle w:val="3"/>
      </w:pPr>
      <w:bookmarkStart w:id="2" w:name="header-n3"/>
      <w:r>
        <w:t xml:space="preserve">11.1.1 </w:t>
      </w:r>
      <w:r>
        <w:t>动态电路</w:t>
      </w:r>
      <w:bookmarkEnd w:id="2"/>
    </w:p>
    <w:p w14:paraId="473E2232" w14:textId="77777777" w:rsidR="00BA0D03" w:rsidRDefault="00BA0D03" w:rsidP="004D4728">
      <w:pPr>
        <w:spacing w:after="156"/>
        <w:ind w:firstLine="422"/>
      </w:pPr>
      <w:r>
        <w:rPr>
          <w:b/>
        </w:rPr>
        <w:t>稳态电路</w:t>
      </w:r>
      <w:r>
        <w:t>：在给定条件下（电路结构，参数处于稳定状态，电源无突然改变输出特性）电路中的电流和电压已达到某一稳态值（对交流电路而言，是指电流和电压的幅值达到稳定值）。简称稳态。</w:t>
      </w:r>
    </w:p>
    <w:p w14:paraId="35B2A498" w14:textId="77777777" w:rsidR="00BA0D03" w:rsidRDefault="00BA0D03" w:rsidP="004D4728">
      <w:pPr>
        <w:spacing w:after="156"/>
        <w:ind w:firstLine="422"/>
      </w:pPr>
      <w:r>
        <w:rPr>
          <w:b/>
        </w:rPr>
        <w:t>动态电路</w:t>
      </w:r>
      <w:r>
        <w:t>：过渡过程，往往时间短暂，所以也称为暂态。</w:t>
      </w:r>
    </w:p>
    <w:p w14:paraId="21611930" w14:textId="77777777" w:rsidR="00BA0D03" w:rsidRDefault="00BA0D03" w:rsidP="00BA0D03">
      <w:pPr>
        <w:pStyle w:val="3"/>
      </w:pPr>
      <w:bookmarkStart w:id="3" w:name="header-n6"/>
      <w:r>
        <w:t xml:space="preserve">11.1.2 </w:t>
      </w:r>
      <w:r>
        <w:t>换路定则</w:t>
      </w:r>
      <w:bookmarkEnd w:id="3"/>
    </w:p>
    <w:p w14:paraId="2510023B" w14:textId="77777777" w:rsidR="00BA0D03" w:rsidRDefault="00BA0D03" w:rsidP="004D4728">
      <w:pPr>
        <w:spacing w:after="156"/>
        <w:ind w:firstLine="422"/>
      </w:pPr>
      <w:r>
        <w:rPr>
          <w:b/>
        </w:rPr>
        <w:t>换路</w:t>
      </w:r>
      <w:r>
        <w:t>：电路的结构或参数发生的变化，统称为换路。包括：</w:t>
      </w:r>
    </w:p>
    <w:p w14:paraId="72326952" w14:textId="77777777" w:rsidR="00BA0D03" w:rsidRDefault="00BA0D03" w:rsidP="004D4728">
      <w:pPr>
        <w:spacing w:after="156"/>
        <w:ind w:firstLine="420"/>
      </w:pPr>
      <w:r>
        <w:t>电源的接通、断开；</w:t>
      </w:r>
    </w:p>
    <w:p w14:paraId="12FF7178" w14:textId="77777777" w:rsidR="00BA0D03" w:rsidRDefault="00BA0D03" w:rsidP="004D4728">
      <w:pPr>
        <w:spacing w:after="156"/>
        <w:ind w:firstLine="420"/>
      </w:pPr>
      <w:r>
        <w:t>电路结构突然改变，如支路的短路或断路；</w:t>
      </w:r>
    </w:p>
    <w:p w14:paraId="6CB0B3AD" w14:textId="77777777" w:rsidR="00BA0D03" w:rsidRDefault="00BA0D03" w:rsidP="004D4728">
      <w:pPr>
        <w:spacing w:after="156"/>
        <w:ind w:firstLine="420"/>
      </w:pPr>
      <w:r>
        <w:t>电路元件参数突然改变；</w:t>
      </w:r>
    </w:p>
    <w:p w14:paraId="51E9DEB2" w14:textId="77777777" w:rsidR="00BA0D03" w:rsidRDefault="00BA0D03" w:rsidP="004D4728">
      <w:pPr>
        <w:spacing w:after="156"/>
        <w:ind w:firstLine="420"/>
      </w:pPr>
      <w:r>
        <w:t>电路外加电压的幅值、频率或初相的跃变等等。</w:t>
      </w:r>
    </w:p>
    <w:p w14:paraId="14112D68" w14:textId="77777777" w:rsidR="00BA0D03" w:rsidRDefault="00BA0D03" w:rsidP="004D4728">
      <w:pPr>
        <w:spacing w:after="156"/>
        <w:ind w:firstLine="422"/>
      </w:pPr>
      <w:r>
        <w:rPr>
          <w:b/>
        </w:rPr>
        <w:t>换路定则</w:t>
      </w:r>
      <w:r>
        <w:t>：在电路换路瞬间，若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</w:t>
      </w:r>
      <w:r>
        <w:t>或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>
        <w:t>不为无穷大，则电容两端的电压不能发生跃变；电感中的电流不能发生跃变。</w:t>
      </w:r>
    </w:p>
    <w:p w14:paraId="7207A0FB" w14:textId="77777777" w:rsidR="00BA0D03" w:rsidRDefault="00BA0D03" w:rsidP="004D4728">
      <w:pPr>
        <w:spacing w:after="156"/>
        <w:ind w:firstLine="420"/>
      </w:pPr>
      <w:r>
        <w:t>换路时间定为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时：</w:t>
      </w:r>
    </w:p>
    <w:p w14:paraId="29B7B1D9" w14:textId="77777777" w:rsidR="00BA0D03" w:rsidRDefault="00FE6671" w:rsidP="004D4728">
      <w:pPr>
        <w:spacing w:after="156"/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0+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0-</m:t>
            </m:r>
          </m:sub>
        </m:sSub>
        <m:r>
          <w:rPr>
            <w:rFonts w:ascii="Cambria Math" w:hAnsi="Cambria Math"/>
          </w:rPr>
          <m:t>)</m:t>
        </m:r>
      </m:oMath>
      <w:r w:rsidR="00BA0D0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0+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0-</m:t>
            </m:r>
          </m:sub>
        </m:sSub>
        <m:r>
          <w:rPr>
            <w:rFonts w:ascii="Cambria Math" w:hAnsi="Cambria Math"/>
          </w:rPr>
          <m:t>)</m:t>
        </m:r>
      </m:oMath>
    </w:p>
    <w:p w14:paraId="072EA4A2" w14:textId="481EB7A6" w:rsidR="00BA0D03" w:rsidRPr="00DC29AC" w:rsidRDefault="00FE6671" w:rsidP="00DC29AC">
      <w:pPr>
        <w:spacing w:after="156"/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0+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0-</m:t>
                </m:r>
              </m:sub>
            </m:sSub>
          </m:e>
        </m:d>
      </m:oMath>
      <w:r w:rsidR="00BA0D0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0-</m:t>
                </m:r>
              </m:sub>
            </m:sSub>
          </m:e>
        </m:d>
      </m:oMath>
    </w:p>
    <w:p w14:paraId="236E8351" w14:textId="77777777" w:rsidR="00BA0D03" w:rsidRDefault="00BA0D03" w:rsidP="004D4728">
      <w:pPr>
        <w:spacing w:after="156"/>
        <w:ind w:firstLine="420"/>
      </w:pPr>
      <w:r>
        <w:t>换路定则反映了电荷守恒、磁链守恒、能量守恒原理。</w:t>
      </w:r>
    </w:p>
    <w:p w14:paraId="61B07132" w14:textId="77777777" w:rsidR="00BA0D03" w:rsidRDefault="00BA0D03" w:rsidP="004D4728">
      <w:pPr>
        <w:spacing w:after="156"/>
        <w:ind w:firstLine="420"/>
      </w:pPr>
      <w:r>
        <w:t>注意：</w:t>
      </w:r>
    </w:p>
    <w:p w14:paraId="48F382E6" w14:textId="77777777" w:rsidR="00BA0D03" w:rsidRDefault="00BA0D03" w:rsidP="004D4728">
      <w:pPr>
        <w:spacing w:after="156"/>
        <w:ind w:firstLine="420"/>
      </w:pPr>
      <w:r>
        <w:t>换路时电感电压和电容电流可以跃变。</w:t>
      </w:r>
    </w:p>
    <w:p w14:paraId="40F1956F" w14:textId="77777777" w:rsidR="00BA0D03" w:rsidRDefault="00BA0D03" w:rsidP="004D4728">
      <w:pPr>
        <w:spacing w:after="156"/>
        <w:ind w:firstLine="420"/>
      </w:pPr>
      <w:r>
        <w:t>在某些特殊情况下，电容电压或电感电流也可能发生跃变，如有冲激电源作用、出现并联电容或串联电感时。</w:t>
      </w:r>
    </w:p>
    <w:p w14:paraId="0EFEA209" w14:textId="77777777" w:rsidR="00BA0D03" w:rsidRDefault="00BA0D03" w:rsidP="00BA0D03">
      <w:pPr>
        <w:pStyle w:val="3"/>
      </w:pPr>
      <w:bookmarkStart w:id="4" w:name="header-n31"/>
      <w:r>
        <w:t xml:space="preserve">11.1.3 </w:t>
      </w:r>
      <w:r>
        <w:t>电路初始值的确定</w:t>
      </w:r>
      <w:bookmarkEnd w:id="4"/>
    </w:p>
    <w:p w14:paraId="599AFD86" w14:textId="77777777" w:rsidR="00BA0D03" w:rsidRDefault="00BA0D03" w:rsidP="004228A0">
      <w:pPr>
        <w:spacing w:after="156"/>
        <w:ind w:firstLine="422"/>
      </w:pPr>
      <w:r>
        <w:rPr>
          <w:b/>
        </w:rPr>
        <w:t>输入</w:t>
      </w:r>
      <w:r>
        <w:rPr>
          <w:b/>
        </w:rPr>
        <w:t>(</w:t>
      </w:r>
      <w:r>
        <w:rPr>
          <w:b/>
        </w:rPr>
        <w:t>激励</w:t>
      </w:r>
      <w:r>
        <w:rPr>
          <w:b/>
        </w:rPr>
        <w:t>)</w:t>
      </w:r>
      <w:r>
        <w:t>：电路中的独立电源。独立电源的作用主要就是向电路提供电能，它是从电路以外向电路以内提供能量，所以称为电路的输入。</w:t>
      </w:r>
    </w:p>
    <w:p w14:paraId="29FCD7BF" w14:textId="77777777" w:rsidR="00BA0D03" w:rsidRDefault="00BA0D03" w:rsidP="004228A0">
      <w:pPr>
        <w:spacing w:after="156"/>
        <w:ind w:firstLine="422"/>
      </w:pPr>
      <w:r>
        <w:rPr>
          <w:b/>
        </w:rPr>
        <w:t>输出</w:t>
      </w:r>
      <w:r>
        <w:rPr>
          <w:b/>
        </w:rPr>
        <w:t>(</w:t>
      </w:r>
      <w:r>
        <w:rPr>
          <w:b/>
        </w:rPr>
        <w:t>响应</w:t>
      </w:r>
      <w:r>
        <w:rPr>
          <w:b/>
        </w:rPr>
        <w:t>)</w:t>
      </w:r>
      <w:r>
        <w:t>：在电源或贮能元件作用下，产生的电压、电流。</w:t>
      </w:r>
    </w:p>
    <w:p w14:paraId="63ED7A99" w14:textId="77777777" w:rsidR="00BA0D03" w:rsidRDefault="00BA0D03" w:rsidP="004228A0">
      <w:pPr>
        <w:spacing w:after="156"/>
        <w:ind w:firstLine="422"/>
      </w:pPr>
      <w:r>
        <w:rPr>
          <w:b/>
        </w:rPr>
        <w:t>初始值</w:t>
      </w:r>
      <w:r>
        <w:t>：电路在</w:t>
      </w:r>
      <w:r>
        <w:t xml:space="preserve">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0+</m:t>
            </m:r>
          </m:sub>
        </m:sSub>
      </m:oMath>
      <w:r>
        <w:t xml:space="preserve"> </w:t>
      </w:r>
      <w:r>
        <w:t>时刻的各电压、电流、电荷、磁链等值。</w:t>
      </w:r>
    </w:p>
    <w:p w14:paraId="288532F9" w14:textId="77777777" w:rsidR="00BA0D03" w:rsidRDefault="00BA0D03" w:rsidP="004228A0">
      <w:pPr>
        <w:spacing w:after="156"/>
        <w:ind w:firstLine="422"/>
      </w:pPr>
      <w:r>
        <w:rPr>
          <w:b/>
        </w:rPr>
        <w:lastRenderedPageBreak/>
        <w:t>电路的初始状态</w:t>
      </w:r>
      <w:r>
        <w:t>：电路进入暂态时，电路中电容电压（电荷）、电感电流（磁链）的初始值。</w:t>
      </w:r>
    </w:p>
    <w:p w14:paraId="190149CF" w14:textId="77777777" w:rsidR="00BA0D03" w:rsidRDefault="00BA0D03" w:rsidP="004228A0">
      <w:pPr>
        <w:spacing w:after="156"/>
        <w:ind w:firstLine="422"/>
      </w:pPr>
      <w:r>
        <w:rPr>
          <w:b/>
        </w:rPr>
        <w:t>初始值的确定步骤</w:t>
      </w:r>
      <w:r>
        <w:t>：</w:t>
      </w:r>
    </w:p>
    <w:p w14:paraId="61794B63" w14:textId="77777777" w:rsidR="00BA0D03" w:rsidRDefault="00BA0D03" w:rsidP="004228A0">
      <w:pPr>
        <w:spacing w:after="156"/>
        <w:ind w:firstLine="420"/>
      </w:pPr>
      <w:r>
        <w:t>按开关变化前的电路计算出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0-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t>或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0-</m:t>
            </m:r>
          </m:sub>
        </m:sSub>
        <m:r>
          <w:rPr>
            <w:rFonts w:ascii="Cambria Math" w:hAnsi="Cambria Math"/>
          </w:rPr>
          <m:t>)</m:t>
        </m:r>
      </m:oMath>
      <w:r>
        <w:t>；</w:t>
      </w:r>
    </w:p>
    <w:p w14:paraId="054DEFDB" w14:textId="77777777" w:rsidR="00BA0D03" w:rsidRDefault="00BA0D03" w:rsidP="004228A0">
      <w:pPr>
        <w:spacing w:after="156"/>
        <w:ind w:firstLine="420"/>
      </w:pPr>
      <w:r>
        <w:t>由换路定则计算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0+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0-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t>或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0+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0-</m:t>
            </m:r>
          </m:sub>
        </m:sSub>
        <m:r>
          <w:rPr>
            <w:rFonts w:ascii="Cambria Math" w:hAnsi="Cambria Math"/>
          </w:rPr>
          <m:t>)</m:t>
        </m:r>
      </m:oMath>
      <w:r>
        <w:t>；</w:t>
      </w:r>
    </w:p>
    <w:p w14:paraId="19F764B3" w14:textId="77777777" w:rsidR="00BA0D03" w:rsidRDefault="00BA0D03" w:rsidP="004228A0">
      <w:pPr>
        <w:spacing w:after="156"/>
        <w:ind w:firstLine="420"/>
      </w:pPr>
      <w:r>
        <w:t>画换路后</w:t>
      </w:r>
      <w:r>
        <w:t xml:space="preserve">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0+</m:t>
            </m:r>
          </m:sub>
        </m:sSub>
      </m:oMath>
      <w:r>
        <w:t xml:space="preserve"> </w:t>
      </w:r>
      <w:r>
        <w:t>时刻初始状态的等效电路，再由</w:t>
      </w:r>
      <w:r>
        <w:t>KCL</w:t>
      </w:r>
      <w:r>
        <w:t>、</w:t>
      </w:r>
      <w:r>
        <w:t>KVL</w:t>
      </w:r>
      <w:r>
        <w:t>和元件性质计算</w:t>
      </w:r>
      <w:r>
        <w:t xml:space="preserve"> </w:t>
      </w:r>
      <w:r>
        <w:t>时刻电路中其它电流电压值的初始值。</w:t>
      </w:r>
    </w:p>
    <w:p w14:paraId="42DEED16" w14:textId="77777777" w:rsidR="00BA0D03" w:rsidRDefault="00BA0D03" w:rsidP="004228A0">
      <w:pPr>
        <w:spacing w:after="156"/>
        <w:ind w:firstLine="422"/>
      </w:pPr>
      <w:r>
        <w:rPr>
          <w:b/>
        </w:rPr>
        <w:t>初始状态的等效电路</w:t>
      </w:r>
      <w:r>
        <w:t>：在换路后的电路中，用大小、极性与电容电压</w:t>
      </w:r>
      <w:r>
        <w:t xml:space="preserve"> </w:t>
      </w:r>
      <w:r>
        <w:t>相等的直流电压源代替电容，用大小、方向与电感电流</w:t>
      </w:r>
      <w:r>
        <w:t xml:space="preserve"> </w:t>
      </w:r>
      <w:r>
        <w:t>相同的直流电流源替代电感，电路中</w:t>
      </w:r>
      <w:proofErr w:type="gramStart"/>
      <w:r>
        <w:t>独立源</w:t>
      </w:r>
      <w:proofErr w:type="gramEnd"/>
      <w:r>
        <w:t>均取</w:t>
      </w:r>
      <w:r>
        <w:t xml:space="preserve"> </w:t>
      </w:r>
      <w:r>
        <w:t>时的值</w:t>
      </w:r>
      <w:r>
        <w:t xml:space="preserve">, </w:t>
      </w:r>
      <w:r>
        <w:t>电路结构和其他参数不变。</w:t>
      </w:r>
    </w:p>
    <w:p w14:paraId="7D3A3875" w14:textId="77777777" w:rsidR="00BA0D03" w:rsidRDefault="00BA0D03" w:rsidP="00BA0D03">
      <w:pPr>
        <w:pStyle w:val="2"/>
      </w:pPr>
      <w:bookmarkStart w:id="5" w:name="header-n45"/>
      <w:r>
        <w:t xml:space="preserve">11.2 </w:t>
      </w:r>
      <w:r>
        <w:t>一阶电路的零输入响应</w:t>
      </w:r>
      <w:bookmarkEnd w:id="5"/>
    </w:p>
    <w:p w14:paraId="3D94EE0B" w14:textId="77777777" w:rsidR="00BA0D03" w:rsidRDefault="00BA0D03" w:rsidP="004228A0">
      <w:pPr>
        <w:spacing w:after="156"/>
        <w:ind w:firstLine="422"/>
      </w:pPr>
      <w:r>
        <w:rPr>
          <w:b/>
        </w:rPr>
        <w:t>零输入响应</w:t>
      </w:r>
      <w:r>
        <w:t>：输入为</w:t>
      </w:r>
      <w:r>
        <w:t>0</w:t>
      </w:r>
      <w:r>
        <w:t>，仅由电路内部贮能</w:t>
      </w:r>
      <w:r>
        <w:t>(</w:t>
      </w:r>
      <w:r>
        <w:t>即由初始值</w:t>
      </w:r>
      <w:r>
        <w:t>)</w:t>
      </w:r>
      <w:r>
        <w:t>产生的响应。</w:t>
      </w:r>
    </w:p>
    <w:p w14:paraId="157CFA7C" w14:textId="77777777" w:rsidR="00BA0D03" w:rsidRDefault="00BA0D03" w:rsidP="004228A0">
      <w:pPr>
        <w:spacing w:after="156"/>
        <w:ind w:firstLine="422"/>
      </w:pPr>
      <w:r>
        <w:rPr>
          <w:b/>
        </w:rPr>
        <w:t>衰减因子</w:t>
      </w:r>
      <w: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</m:sup>
        </m:sSup>
      </m:oMath>
      <w:r>
        <w:t xml:space="preserve"> </w:t>
      </w:r>
      <w:r>
        <w:t>衰减快慢取决于</w:t>
      </w:r>
      <w:r>
        <w:t xml:space="preserve"> </w:t>
      </w:r>
      <m:oMath>
        <m:r>
          <w:rPr>
            <w:rFonts w:ascii="Cambria Math" w:hAnsi="Cambria Math"/>
          </w:rPr>
          <m:t>τ</m:t>
        </m:r>
      </m:oMath>
      <w:r>
        <w:t xml:space="preserve"> </w:t>
      </w:r>
      <w:r>
        <w:t>的大小</w:t>
      </w:r>
      <w:r>
        <w:t xml:space="preserve">, </w:t>
      </w:r>
      <m:oMath>
        <m:r>
          <w:rPr>
            <w:rFonts w:ascii="Cambria Math" w:hAnsi="Cambria Math"/>
          </w:rPr>
          <m:t>τ</m:t>
        </m:r>
      </m:oMath>
      <w:r>
        <w:t xml:space="preserve"> </w:t>
      </w:r>
      <w:r>
        <w:t>越大衰减越慢。</w:t>
      </w:r>
    </w:p>
    <w:p w14:paraId="76A21C65" w14:textId="77777777" w:rsidR="00BA0D03" w:rsidRDefault="00BA0D03" w:rsidP="004228A0">
      <w:pPr>
        <w:spacing w:after="156"/>
        <w:ind w:firstLine="422"/>
      </w:pPr>
      <w:r>
        <w:rPr>
          <w:b/>
        </w:rPr>
        <w:t>时间常数</w:t>
      </w:r>
      <w:r>
        <w:rPr>
          <w:b/>
        </w:rPr>
        <w:t xml:space="preserve"> </w:t>
      </w:r>
      <m:oMath>
        <m:r>
          <w:rPr>
            <w:rFonts w:ascii="Cambria Math" w:hAnsi="Cambria Math"/>
          </w:rPr>
          <m:t>τ</m:t>
        </m:r>
      </m:oMath>
      <w:r>
        <w:rPr>
          <w:b/>
        </w:rPr>
        <w:t xml:space="preserve"> </w:t>
      </w:r>
      <w:r>
        <w:rPr>
          <w:b/>
        </w:rPr>
        <w:t>的确定方法</w:t>
      </w:r>
      <w:r>
        <w:t>：</w:t>
      </w:r>
    </w:p>
    <w:p w14:paraId="4428351E" w14:textId="77777777" w:rsidR="00BA0D03" w:rsidRDefault="00BA0D03" w:rsidP="004228A0">
      <w:pPr>
        <w:spacing w:after="156"/>
        <w:ind w:firstLine="420"/>
      </w:pPr>
      <m:oMath>
        <m:r>
          <w:rPr>
            <w:rFonts w:ascii="Cambria Math" w:hAnsi="Cambria Math"/>
          </w:rPr>
          <m:t>τ=RC=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>，</w:t>
      </w:r>
      <m:oMath>
        <m:r>
          <w:rPr>
            <w:rFonts w:ascii="Cambria Math" w:hAnsi="Cambria Math"/>
          </w:rPr>
          <m:t>R</m:t>
        </m:r>
      </m:oMath>
      <w:r>
        <w:t xml:space="preserve"> </w:t>
      </w:r>
      <w:r>
        <w:t>为从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>
        <w:t xml:space="preserve"> </w:t>
      </w:r>
      <w:r>
        <w:t>或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</w:t>
      </w:r>
      <w:r>
        <w:t>两端看的等效电阻。</w:t>
      </w:r>
    </w:p>
    <w:p w14:paraId="558AA56D" w14:textId="77777777" w:rsidR="00BA0D03" w:rsidRDefault="00BA0D03" w:rsidP="004228A0">
      <w:pPr>
        <w:spacing w:after="156"/>
        <w:ind w:firstLine="420"/>
      </w:pPr>
      <w:r>
        <w:t>由电路的响应曲线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(τ)=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=0.368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。</w:t>
      </w:r>
    </w:p>
    <w:p w14:paraId="42F92528" w14:textId="77777777" w:rsidR="00BA0D03" w:rsidRDefault="00BA0D03" w:rsidP="004228A0">
      <w:pPr>
        <w:spacing w:after="156"/>
        <w:ind w:firstLine="422"/>
      </w:pPr>
      <w:r>
        <w:rPr>
          <w:b/>
        </w:rPr>
        <w:t>零输入响应的一般形式</w:t>
      </w:r>
      <w:r>
        <w:t>：</w:t>
      </w:r>
    </w:p>
    <w:p w14:paraId="6B135236" w14:textId="5CB3B8B8" w:rsidR="00BA0D03" w:rsidRDefault="00BA0D03" w:rsidP="004228A0">
      <w:pPr>
        <w:spacing w:after="156"/>
        <w:ind w:firstLine="420"/>
        <w:rPr>
          <w:rFonts w:hint="eastAsia"/>
        </w:rPr>
      </w:pPr>
      <w:bookmarkStart w:id="6" w:name="1"/>
      <m:oMathPara>
        <m:oMathParaPr>
          <m:jc m:val="center"/>
        </m:oMathParaPr>
        <m:oMath>
          <m:r>
            <w:rPr>
              <w:rFonts w:ascii="Cambria Math" w:hAnsi="Cambria Math"/>
            </w:rPr>
            <m:t>f(t)=f(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0+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</w:rPr>
            <m:t>,t≥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F45C3EC" w14:textId="77777777" w:rsidR="00BA0D03" w:rsidRDefault="00BA0D03" w:rsidP="00BA0D03">
      <w:pPr>
        <w:pStyle w:val="2"/>
      </w:pPr>
      <w:bookmarkStart w:id="7" w:name="header-n56"/>
      <w:bookmarkEnd w:id="6"/>
      <w:r>
        <w:t xml:space="preserve">11.3 </w:t>
      </w:r>
      <w:r>
        <w:t>一阶电路的零状态响应</w:t>
      </w:r>
      <w:bookmarkEnd w:id="7"/>
    </w:p>
    <w:p w14:paraId="127A1A91" w14:textId="77777777" w:rsidR="00BA0D03" w:rsidRPr="002C0362" w:rsidRDefault="00BA0D03" w:rsidP="002C0362">
      <w:pPr>
        <w:spacing w:after="156"/>
        <w:ind w:firstLine="420"/>
      </w:pPr>
      <w:r w:rsidRPr="002C0362">
        <w:t>零状态响应：仅由电源产生的响应。</w:t>
      </w:r>
    </w:p>
    <w:p w14:paraId="7159DA61" w14:textId="77777777" w:rsidR="00BA0D03" w:rsidRDefault="00BA0D03" w:rsidP="002C0362">
      <w:pPr>
        <w:spacing w:after="156"/>
        <w:ind w:firstLine="422"/>
      </w:pPr>
      <w:r>
        <w:rPr>
          <w:b/>
        </w:rPr>
        <w:t>稳态分量</w:t>
      </w:r>
      <w:r>
        <w:rPr>
          <w:b/>
        </w:rPr>
        <w:t>(</w:t>
      </w:r>
      <w:r>
        <w:rPr>
          <w:b/>
        </w:rPr>
        <w:t>特解</w:t>
      </w:r>
      <w:r>
        <w:rPr>
          <w:b/>
        </w:rPr>
        <w:t>)</w:t>
      </w:r>
      <w:r>
        <w:t>：是电路达到稳态时的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</w:t>
      </w:r>
      <w:r>
        <w:t>或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(t)</m:t>
        </m:r>
      </m:oMath>
      <w:r>
        <w:t>的值。由于它与外施激励的变化规律有关，又称强制分量。</w:t>
      </w:r>
    </w:p>
    <w:p w14:paraId="1F1BB3CD" w14:textId="77777777" w:rsidR="00BA0D03" w:rsidRDefault="00BA0D03" w:rsidP="002C0362">
      <w:pPr>
        <w:spacing w:after="156"/>
        <w:ind w:firstLine="422"/>
      </w:pPr>
      <w:r>
        <w:rPr>
          <w:b/>
        </w:rPr>
        <w:t>自由分量</w:t>
      </w:r>
      <w:r>
        <w:rPr>
          <w:b/>
        </w:rPr>
        <w:t>(</w:t>
      </w:r>
      <w:r>
        <w:rPr>
          <w:b/>
        </w:rPr>
        <w:t>通解</w:t>
      </w:r>
      <w:r>
        <w:rPr>
          <w:b/>
        </w:rPr>
        <w:t>)</w:t>
      </w:r>
      <w:r>
        <w:t>：是由于其变化规律取决于特征根，与外施激励无关。自由分量按指数规律衰减，最终趋于零，也称瞬态分量。</w:t>
      </w:r>
    </w:p>
    <w:p w14:paraId="04CD7CFE" w14:textId="77777777" w:rsidR="00BA0D03" w:rsidRDefault="00BA0D03" w:rsidP="002C0362">
      <w:pPr>
        <w:spacing w:after="156"/>
        <w:ind w:firstLine="422"/>
      </w:pPr>
      <w:r>
        <w:rPr>
          <w:b/>
        </w:rPr>
        <w:t>零状态响应的一般形式</w:t>
      </w:r>
      <w:r>
        <w:t>：</w:t>
      </w:r>
    </w:p>
    <w:p w14:paraId="5A40D49E" w14:textId="48950CEB" w:rsidR="00BA0D03" w:rsidRDefault="00BA0D03" w:rsidP="002C0362">
      <w:pPr>
        <w:spacing w:after="156"/>
        <w:ind w:firstLine="420"/>
        <w:rPr>
          <w:rFonts w:hint="eastAsia"/>
        </w:rPr>
      </w:pPr>
      <w:bookmarkStart w:id="8" w:name="2"/>
      <m:oMathPara>
        <m:oMathParaPr>
          <m:jc m:val="center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</w:rPr>
            <m:t>,t≥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bookmarkEnd w:id="8"/>
    <w:p w14:paraId="0429A205" w14:textId="77777777" w:rsidR="00BA0D03" w:rsidRDefault="00BA0D03" w:rsidP="002C0362">
      <w:pPr>
        <w:spacing w:after="156"/>
        <w:ind w:firstLine="420"/>
      </w:pPr>
      <w:r>
        <w:t>代入初始值可得</w:t>
      </w:r>
      <w:r>
        <w:t>:</w:t>
      </w:r>
    </w:p>
    <w:p w14:paraId="4C394D84" w14:textId="51FE6B5B" w:rsidR="00BA0D03" w:rsidRDefault="00BA0D03" w:rsidP="002C0362">
      <w:pPr>
        <w:spacing w:after="156"/>
        <w:ind w:firstLine="420"/>
        <w:rPr>
          <w:rFonts w:hint="eastAsia"/>
        </w:rPr>
      </w:pPr>
      <w:bookmarkStart w:id="9" w:name="3"/>
      <m:oMathPara>
        <m:oMathParaPr>
          <m:jc m:val="center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  <m:r>
                <w:rPr>
                  <w:rFonts w:ascii="Cambria Math" w:hAnsi="Cambria Math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</w:rPr>
            <m:t>,t≥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D5FA788" w14:textId="77777777" w:rsidR="00BA0D03" w:rsidRDefault="00BA0D03" w:rsidP="00BA0D03">
      <w:pPr>
        <w:pStyle w:val="2"/>
      </w:pPr>
      <w:bookmarkStart w:id="10" w:name="header-n64"/>
      <w:bookmarkEnd w:id="9"/>
      <w:r>
        <w:lastRenderedPageBreak/>
        <w:t xml:space="preserve">11.4 </w:t>
      </w:r>
      <w:r>
        <w:t>一阶电路的全响应及三要素法</w:t>
      </w:r>
      <w:bookmarkEnd w:id="10"/>
    </w:p>
    <w:p w14:paraId="69AAD96E" w14:textId="77777777" w:rsidR="00BA0D03" w:rsidRDefault="00BA0D03" w:rsidP="002C0362">
      <w:pPr>
        <w:spacing w:after="156"/>
        <w:ind w:firstLine="422"/>
      </w:pPr>
      <w:r>
        <w:rPr>
          <w:b/>
        </w:rPr>
        <w:t>完全响应</w:t>
      </w:r>
      <w:r>
        <w:t>：由外施激励和初始状态共同引起的响应。</w:t>
      </w:r>
      <w:r>
        <w:t xml:space="preserve"> </w:t>
      </w:r>
      <w:r>
        <w:t>线性电路的</w:t>
      </w:r>
      <w:proofErr w:type="gramStart"/>
      <w:r>
        <w:t>完全响应</w:t>
      </w:r>
      <w:proofErr w:type="gramEnd"/>
      <w:r>
        <w:t>等于零输入响应和零状态响应的叠加。</w:t>
      </w:r>
    </w:p>
    <w:p w14:paraId="5A6446AC" w14:textId="77777777" w:rsidR="00BA0D03" w:rsidRDefault="00BA0D03" w:rsidP="002C0362">
      <w:pPr>
        <w:spacing w:after="156"/>
        <w:ind w:firstLine="422"/>
      </w:pPr>
      <w:r>
        <w:rPr>
          <w:b/>
        </w:rPr>
        <w:t>一阶电路的全响应</w:t>
      </w:r>
      <w:r>
        <w:t>：</w:t>
      </w:r>
    </w:p>
    <w:p w14:paraId="53F81C09" w14:textId="0D6A5F1D" w:rsidR="00BA0D03" w:rsidRDefault="00BA0D03" w:rsidP="002C0362">
      <w:pPr>
        <w:spacing w:after="156"/>
        <w:ind w:firstLine="420"/>
        <w:rPr>
          <w:rFonts w:hint="eastAsia"/>
        </w:rPr>
      </w:pPr>
      <w:bookmarkStart w:id="11" w:name="4"/>
      <m:oMathPara>
        <m:oMathParaPr>
          <m:jc m:val="center"/>
        </m:oMathParaPr>
        <m:oMath>
          <m:r>
            <w:rPr>
              <w:rFonts w:ascii="Cambria Math" w:hAnsi="Cambria Math"/>
            </w:rPr>
            <m:t>f(t)=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(t)+[f(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0+</m:t>
              </m:r>
            </m:sub>
          </m:sSub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(t)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]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</w:rPr>
            <m:t>,t≥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bookmarkEnd w:id="11"/>
    <w:p w14:paraId="70586028" w14:textId="17AA8EC7" w:rsidR="00BA0D03" w:rsidRDefault="00FE6671" w:rsidP="002C0362">
      <w:pPr>
        <w:spacing w:after="156"/>
        <w:ind w:firstLine="422"/>
      </w:pPr>
      <w:r>
        <w:rPr>
          <w:rFonts w:hint="eastAsia"/>
          <w:b/>
        </w:rPr>
        <w:t>特解</w:t>
      </w:r>
      <w:r w:rsidR="00BA0D03">
        <w:t>：</w:t>
      </w:r>
    </w:p>
    <w:p w14:paraId="096DC509" w14:textId="44CF99F3" w:rsidR="00BA0D03" w:rsidRDefault="00BA0D03" w:rsidP="00FE6671">
      <w:pPr>
        <w:spacing w:after="156"/>
        <w:ind w:leftChars="200" w:left="420" w:firstLine="420"/>
      </w:pPr>
      <w:r>
        <w:t>直流：稳态值</w:t>
      </w:r>
      <w:r w:rsidR="00FE6671">
        <w:rPr>
          <w:rFonts w:hint="eastAsia"/>
        </w:rPr>
        <w:t>；</w:t>
      </w:r>
    </w:p>
    <w:p w14:paraId="532CB054" w14:textId="73B8A134" w:rsidR="00BA0D03" w:rsidRDefault="00BA0D03" w:rsidP="00FE6671">
      <w:pPr>
        <w:spacing w:after="156"/>
        <w:ind w:leftChars="200" w:left="420" w:firstLine="420"/>
      </w:pPr>
      <w:r>
        <w:t>正弦交流：相量法</w:t>
      </w:r>
      <w:r w:rsidR="00FE6671">
        <w:rPr>
          <w:rFonts w:hint="eastAsia"/>
        </w:rPr>
        <w:t>。</w:t>
      </w:r>
    </w:p>
    <w:p w14:paraId="747559FC" w14:textId="77777777" w:rsidR="00BA0D03" w:rsidRDefault="00BA0D03" w:rsidP="00BA0D03">
      <w:pPr>
        <w:pStyle w:val="2"/>
      </w:pPr>
      <w:bookmarkStart w:id="12" w:name="header-n74"/>
      <w:r>
        <w:t xml:space="preserve">11.5 </w:t>
      </w:r>
      <w:r>
        <w:t>一阶电路的阶跃响应</w:t>
      </w:r>
      <w:bookmarkEnd w:id="12"/>
    </w:p>
    <w:p w14:paraId="5509FFB9" w14:textId="77777777" w:rsidR="00BA0D03" w:rsidRDefault="00BA0D03" w:rsidP="00BA0D03">
      <w:pPr>
        <w:pStyle w:val="3"/>
      </w:pPr>
      <w:bookmarkStart w:id="13" w:name="header-n75"/>
      <w:r>
        <w:t xml:space="preserve">11.5.1 </w:t>
      </w:r>
      <w:r>
        <w:t>单位阶跃函数</w:t>
      </w:r>
      <w:bookmarkEnd w:id="13"/>
    </w:p>
    <w:p w14:paraId="7BA43AB0" w14:textId="072B5782" w:rsidR="00BA0D03" w:rsidRDefault="00BA0D03" w:rsidP="002C0362">
      <w:pPr>
        <w:spacing w:after="156"/>
        <w:ind w:firstLine="420"/>
        <w:rPr>
          <w:rFonts w:hint="eastAsia"/>
        </w:rPr>
      </w:pPr>
      <w:bookmarkStart w:id="14" w:name="5"/>
      <m:oMathPara>
        <m:oMathParaPr>
          <m:jc m:val="center"/>
        </m:oMathParaPr>
        <m:oMath>
          <m:r>
            <w:rPr>
              <w:rFonts w:ascii="Cambria Math" w:hAnsi="Cambria Math"/>
            </w:rPr>
            <m:t>ε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0-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0+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14"/>
    <w:p w14:paraId="666C7403" w14:textId="1B3504C8" w:rsidR="00BA0D03" w:rsidRDefault="00BA0D03" w:rsidP="002C0362">
      <w:pPr>
        <w:spacing w:after="156"/>
        <w:ind w:firstLine="420"/>
      </w:pPr>
      <w:r>
        <w:t>如果</w:t>
      </w:r>
      <w:proofErr w:type="gramStart"/>
      <w:r>
        <w:t>阶跃函数非零值</w:t>
      </w:r>
      <w:proofErr w:type="gramEnd"/>
      <w:r>
        <w:t>起始于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t>，强度为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>
        <w:t>，则可表示为</w:t>
      </w:r>
      <w:r>
        <w:t xml:space="preserve"> </w:t>
      </w:r>
      <m:oMath>
        <m:r>
          <w:rPr>
            <w:rFonts w:ascii="Cambria Math" w:hAnsi="Cambria Math"/>
          </w:rPr>
          <m:t>kε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</m:oMath>
      <w:r>
        <w:t xml:space="preserve"> </w:t>
      </w:r>
      <w:r>
        <w:t>，其中</w:t>
      </w:r>
      <w:r>
        <w:t xml:space="preserve"> </w:t>
      </w: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</m:oMath>
      <w:r>
        <w:t xml:space="preserve"> </w:t>
      </w:r>
      <w:r>
        <w:t>称为延时阶跃函数。</w:t>
      </w:r>
    </w:p>
    <w:p w14:paraId="69AB7D84" w14:textId="02A18EB5" w:rsidR="00BA0D03" w:rsidRDefault="00BA0D03" w:rsidP="002C0362">
      <w:pPr>
        <w:spacing w:after="156"/>
        <w:ind w:firstLine="420"/>
        <w:rPr>
          <w:rFonts w:hint="eastAsia"/>
        </w:rPr>
      </w:pPr>
      <w:bookmarkStart w:id="15" w:name="6"/>
      <m:oMathPara>
        <m:oMathParaPr>
          <m:jc m:val="center"/>
        </m:oMathParaPr>
        <m:oMath>
          <m:r>
            <w:rPr>
              <w:rFonts w:ascii="Cambria Math" w:hAnsi="Cambria Math"/>
            </w:rPr>
            <m:t>kε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0-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0+</m:t>
                        </m:r>
                      </m:sub>
                    </m:sSub>
                  </m:e>
                </m:mr>
              </m:m>
            </m:e>
          </m:d>
        </m:oMath>
      </m:oMathPara>
    </w:p>
    <w:p w14:paraId="72FB1667" w14:textId="77777777" w:rsidR="00BA0D03" w:rsidRDefault="00BA0D03" w:rsidP="00BA0D03">
      <w:pPr>
        <w:pStyle w:val="3"/>
      </w:pPr>
      <w:bookmarkStart w:id="16" w:name="header-n79"/>
      <w:bookmarkEnd w:id="15"/>
      <w:r>
        <w:t xml:space="preserve">11.5.2 </w:t>
      </w:r>
      <w:r>
        <w:t>单位阶跃响应</w:t>
      </w:r>
      <w:bookmarkEnd w:id="16"/>
    </w:p>
    <w:p w14:paraId="25976B60" w14:textId="77777777" w:rsidR="00BA0D03" w:rsidRDefault="00BA0D03" w:rsidP="002C0362">
      <w:pPr>
        <w:spacing w:after="156"/>
        <w:ind w:firstLine="420"/>
      </w:pPr>
      <w:r>
        <w:t>电源以单位阶跃输入的零状态响应。用</w:t>
      </w:r>
      <w:r>
        <w:t xml:space="preserve"> </w:t>
      </w:r>
      <m:oMath>
        <m:r>
          <w:rPr>
            <w:rFonts w:ascii="Cambria Math" w:hAnsi="Cambria Math"/>
          </w:rPr>
          <m:t>s(t)</m:t>
        </m:r>
      </m:oMath>
      <w:r>
        <w:t xml:space="preserve"> </w:t>
      </w:r>
      <w:r>
        <w:t>表示。</w:t>
      </w:r>
    </w:p>
    <w:p w14:paraId="3CFF0264" w14:textId="77777777" w:rsidR="00BA0D03" w:rsidRDefault="00BA0D03" w:rsidP="002C0362">
      <w:pPr>
        <w:spacing w:after="156"/>
        <w:ind w:firstLine="420"/>
      </w:pPr>
      <w:r>
        <w:t>激励为</w:t>
      </w:r>
      <w:r>
        <w:t xml:space="preserve"> </w:t>
      </w:r>
      <m:oMath>
        <m:r>
          <w:rPr>
            <w:rFonts w:ascii="Cambria Math" w:hAnsi="Cambria Math"/>
          </w:rPr>
          <m:t>kε(t-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t>时，阶跃响应为</w:t>
      </w:r>
      <w:r>
        <w:t xml:space="preserve"> </w:t>
      </w:r>
      <m:oMath>
        <m:r>
          <w:rPr>
            <w:rFonts w:ascii="Cambria Math" w:hAnsi="Cambria Math"/>
          </w:rPr>
          <m:t>ks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>。</w:t>
      </w:r>
    </w:p>
    <w:p w14:paraId="1E0B78DE" w14:textId="77777777" w:rsidR="00BA0D03" w:rsidRDefault="00BA0D03" w:rsidP="00BA0D03">
      <w:pPr>
        <w:pStyle w:val="2"/>
      </w:pPr>
      <w:bookmarkStart w:id="17" w:name="header-n82"/>
      <w:r>
        <w:t xml:space="preserve">11.6 </w:t>
      </w:r>
      <w:r>
        <w:t>一阶电路的冲激响应</w:t>
      </w:r>
      <w:bookmarkEnd w:id="17"/>
    </w:p>
    <w:p w14:paraId="39289B84" w14:textId="77777777" w:rsidR="00BA0D03" w:rsidRDefault="00BA0D03" w:rsidP="00BA0D03">
      <w:pPr>
        <w:pStyle w:val="3"/>
      </w:pPr>
      <w:bookmarkStart w:id="18" w:name="header-n83"/>
      <w:r>
        <w:t xml:space="preserve">11.6.1 </w:t>
      </w:r>
      <w:r>
        <w:t>单位冲激函数</w:t>
      </w:r>
      <w:bookmarkEnd w:id="18"/>
    </w:p>
    <w:bookmarkStart w:id="19" w:name="7"/>
    <w:p w14:paraId="65E2D9A3" w14:textId="6FAF59D9" w:rsidR="00BA0D03" w:rsidRDefault="00FE6671" w:rsidP="002C0362">
      <w:pPr>
        <w:spacing w:after="156"/>
        <w:ind w:firstLine="420"/>
        <w:rPr>
          <w:rFonts w:hint="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≠0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</m:oMath>
      </m:oMathPara>
    </w:p>
    <w:bookmarkEnd w:id="19"/>
    <w:p w14:paraId="4AC43561" w14:textId="77777777" w:rsidR="00BA0D03" w:rsidRDefault="00BA0D03" w:rsidP="002C0362">
      <w:pPr>
        <w:spacing w:after="156"/>
        <w:ind w:firstLine="420"/>
      </w:pPr>
      <w:r>
        <w:t>如果冲激函数脉冲发生的时间是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t>，强度为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>
        <w:t>，则可表示为</w:t>
      </w:r>
      <w:r>
        <w:t xml:space="preserve"> </w:t>
      </w:r>
      <m:oMath>
        <m:r>
          <w:rPr>
            <w:rFonts w:ascii="Cambria Math" w:hAnsi="Cambria Math"/>
          </w:rPr>
          <m:t>kδ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</m:oMath>
      <w:r>
        <w:t xml:space="preserve"> </w:t>
      </w:r>
      <w:r>
        <w:t>，其中</w:t>
      </w:r>
      <w:r>
        <w:t xml:space="preserve">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</m:oMath>
      <w:r>
        <w:t xml:space="preserve"> </w:t>
      </w:r>
      <w:r>
        <w:t>称为延时冲激函数。</w:t>
      </w:r>
    </w:p>
    <w:bookmarkStart w:id="20" w:name="8"/>
    <w:p w14:paraId="6440AB0B" w14:textId="29DE6726" w:rsidR="00BA0D03" w:rsidRDefault="00FE6671" w:rsidP="002C0362">
      <w:pPr>
        <w:spacing w:after="156"/>
        <w:ind w:firstLine="420"/>
        <w:rPr>
          <w:rFonts w:hint="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≠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</m:oMath>
      </m:oMathPara>
    </w:p>
    <w:p w14:paraId="1FEEB8EA" w14:textId="77777777" w:rsidR="00BA0D03" w:rsidRDefault="00BA0D03" w:rsidP="00BA0D03">
      <w:pPr>
        <w:pStyle w:val="3"/>
      </w:pPr>
      <w:bookmarkStart w:id="21" w:name="header-n87"/>
      <w:bookmarkEnd w:id="20"/>
      <w:r>
        <w:t xml:space="preserve">11.6.2 </w:t>
      </w:r>
      <m:oMath>
        <m:r>
          <m:rPr>
            <m:sty m:val="bi"/>
          </m:rPr>
          <w:rPr>
            <w:rFonts w:ascii="Cambria Math" w:hAnsi="Cambria Math"/>
          </w:rPr>
          <m:t>δ</m:t>
        </m:r>
      </m:oMath>
      <w:r>
        <w:t xml:space="preserve"> </w:t>
      </w:r>
      <w:r>
        <w:t>函数的抽样特性</w:t>
      </w:r>
      <w:bookmarkEnd w:id="21"/>
    </w:p>
    <w:p w14:paraId="24389C69" w14:textId="77777777" w:rsidR="00BA0D03" w:rsidRDefault="00BA0D03" w:rsidP="002C0362">
      <w:pPr>
        <w:spacing w:after="156"/>
        <w:ind w:firstLine="420"/>
      </w:pPr>
      <w:r>
        <w:t>对于在任意时刻</w:t>
      </w:r>
      <w:r>
        <w:t xml:space="preserve"> </w:t>
      </w:r>
      <m:oMath>
        <m:r>
          <w:rPr>
            <w:rFonts w:ascii="Cambria Math" w:hAnsi="Cambria Math"/>
          </w:rPr>
          <m:t>t=τ</m:t>
        </m:r>
      </m:oMath>
      <w:r>
        <w:t xml:space="preserve"> </w:t>
      </w:r>
      <w:r>
        <w:t>处连续的函数</w:t>
      </w:r>
      <w:r>
        <w:t xml:space="preserve"> </w:t>
      </w:r>
      <m:oMath>
        <m:r>
          <w:rPr>
            <w:rFonts w:ascii="Cambria Math" w:hAnsi="Cambria Math"/>
          </w:rPr>
          <m:t>f(t)</m:t>
        </m:r>
      </m:oMath>
      <w:r>
        <w:t xml:space="preserve"> </w:t>
      </w:r>
      <w:r>
        <w:t>，有</w:t>
      </w:r>
    </w:p>
    <w:bookmarkStart w:id="22" w:name="9"/>
    <w:p w14:paraId="2AD532DA" w14:textId="36E43960" w:rsidR="00BA0D03" w:rsidRDefault="00FE6671" w:rsidP="002C0362">
      <w:pPr>
        <w:spacing w:after="156"/>
        <w:ind w:firstLine="420"/>
        <w:rPr>
          <w:rFonts w:hint="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(t)δ(t-τ)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t=f(τ)</m:t>
          </m:r>
        </m:oMath>
      </m:oMathPara>
    </w:p>
    <w:bookmarkEnd w:id="22"/>
    <w:p w14:paraId="500C8C58" w14:textId="77777777" w:rsidR="00BA0D03" w:rsidRDefault="00BA0D03" w:rsidP="002C0362">
      <w:pPr>
        <w:spacing w:after="156"/>
        <w:ind w:firstLine="420"/>
      </w:pPr>
      <w:r>
        <w:t>这一性质称为</w:t>
      </w:r>
      <w:r>
        <w:t xml:space="preserve"> </w:t>
      </w:r>
      <m:oMath>
        <m:r>
          <w:rPr>
            <w:rFonts w:ascii="Cambria Math" w:hAnsi="Cambria Math"/>
          </w:rPr>
          <m:t>δ</m:t>
        </m:r>
      </m:oMath>
      <w:r>
        <w:t xml:space="preserve"> </w:t>
      </w:r>
      <w:r>
        <w:t>函数的抽样特性或筛选特性。</w:t>
      </w:r>
    </w:p>
    <w:p w14:paraId="0C70D9D3" w14:textId="77777777" w:rsidR="00BA0D03" w:rsidRDefault="00BA0D03" w:rsidP="00BA0D03">
      <w:pPr>
        <w:pStyle w:val="3"/>
      </w:pPr>
      <w:bookmarkStart w:id="23" w:name="header-n91"/>
      <w:r>
        <w:t xml:space="preserve">11.6.3 </w:t>
      </w:r>
      <m:oMath>
        <m:r>
          <m:rPr>
            <m:sty m:val="bi"/>
          </m:rPr>
          <w:rPr>
            <w:rFonts w:ascii="Cambria Math" w:hAnsi="Cambria Math"/>
          </w:rPr>
          <m:t>ε(t)</m:t>
        </m:r>
      </m:oMath>
      <w:r>
        <w:t xml:space="preserve"> </w:t>
      </w:r>
      <w:r>
        <w:t>与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δ(t)</m:t>
        </m:r>
      </m:oMath>
      <w:r>
        <w:t xml:space="preserve"> </w:t>
      </w:r>
      <w:r>
        <w:t>的数学关系</w:t>
      </w:r>
      <w:bookmarkEnd w:id="23"/>
    </w:p>
    <w:p w14:paraId="60611C90" w14:textId="27C61172" w:rsidR="00BA0D03" w:rsidRDefault="00BA0D03" w:rsidP="002C0362">
      <w:pPr>
        <w:spacing w:after="156"/>
        <w:ind w:firstLine="420"/>
        <w:rPr>
          <w:rFonts w:hint="eastAsia"/>
        </w:rPr>
      </w:pPr>
      <w:bookmarkStart w:id="24" w:name="10"/>
      <m:oMathPara>
        <m:oMathParaPr>
          <m:jc m:val="center"/>
        </m:oMathParaPr>
        <m:oMath>
          <m:r>
            <w:rPr>
              <w:rFonts w:ascii="Cambria Math" w:hAnsi="Cambria Math"/>
            </w:rPr>
            <m:t>ε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δ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ξ</m:t>
          </m:r>
          <m:r>
            <m:rPr>
              <m:sty m:val="p"/>
            </m:rPr>
            <w:rPr>
              <w:rFonts w:ascii="Cambria Math" w:hAnsi="Cambria Math"/>
            </w:rPr>
            <m:t>)d(</m:t>
          </m:r>
          <m:r>
            <w:rPr>
              <w:rFonts w:ascii="Cambria Math" w:hAnsi="Cambria Math"/>
            </w:rPr>
            <m:t>ξ</m:t>
          </m:r>
          <m:r>
            <m:rPr>
              <m:sty m:val="p"/>
            </m:rPr>
            <w:rPr>
              <w:rFonts w:ascii="Cambria Math" w:hAnsi="Cambria Math"/>
            </w:rPr>
            <m:t>) </m:t>
          </m:r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ε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891A0E6" w14:textId="77777777" w:rsidR="00BA0D03" w:rsidRDefault="00BA0D03" w:rsidP="00BA0D03">
      <w:pPr>
        <w:pStyle w:val="3"/>
      </w:pPr>
      <w:bookmarkStart w:id="25" w:name="header-n93"/>
      <w:bookmarkEnd w:id="24"/>
      <w:r>
        <w:t xml:space="preserve">11.6.4 </w:t>
      </w:r>
      <w:r>
        <w:t>冲激响应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h(t)</m:t>
        </m:r>
      </m:oMath>
      <w:bookmarkEnd w:id="25"/>
    </w:p>
    <w:p w14:paraId="55D65033" w14:textId="77777777" w:rsidR="00BA0D03" w:rsidRDefault="00BA0D03" w:rsidP="002C0362">
      <w:pPr>
        <w:spacing w:after="156"/>
        <w:ind w:firstLine="420"/>
      </w:pPr>
      <w:r>
        <w:t>电路在单位冲激函数</w:t>
      </w:r>
      <w:r>
        <w:t xml:space="preserve"> </w:t>
      </w:r>
      <m:oMath>
        <m:r>
          <w:rPr>
            <w:rFonts w:ascii="Cambria Math" w:hAnsi="Cambria Math"/>
          </w:rPr>
          <m:t>δ(t)</m:t>
        </m:r>
      </m:oMath>
      <w:r>
        <w:t xml:space="preserve"> </w:t>
      </w:r>
      <w:r>
        <w:t>激励下的零状态响应，记为</w:t>
      </w:r>
      <w:r>
        <w:t xml:space="preserve"> </w:t>
      </w:r>
      <m:oMath>
        <m:r>
          <w:rPr>
            <w:rFonts w:ascii="Cambria Math" w:hAnsi="Cambria Math"/>
          </w:rPr>
          <m:t>h(t)</m:t>
        </m:r>
      </m:oMath>
      <w:r>
        <w:t xml:space="preserve"> </w:t>
      </w:r>
      <w:r>
        <w:t>。</w:t>
      </w:r>
    </w:p>
    <w:p w14:paraId="19CF9AA8" w14:textId="77777777" w:rsidR="00BA0D03" w:rsidRDefault="00BA0D03" w:rsidP="00BA0D03">
      <w:pPr>
        <w:pStyle w:val="3"/>
      </w:pPr>
      <w:bookmarkStart w:id="26" w:name="header-n95"/>
      <w:r>
        <w:t xml:space="preserve">11.6.5 </w:t>
      </w:r>
      <w:r>
        <w:t>线性电路的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s(t)</m:t>
        </m:r>
      </m:oMath>
      <w:r>
        <w:t xml:space="preserve"> </w:t>
      </w:r>
      <w:r>
        <w:t>与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h(t)</m:t>
        </m:r>
      </m:oMath>
      <w:r>
        <w:t xml:space="preserve"> </w:t>
      </w:r>
      <w:r>
        <w:t>的数学关系</w:t>
      </w:r>
      <w:bookmarkEnd w:id="26"/>
    </w:p>
    <w:bookmarkStart w:id="27" w:name="11"/>
    <w:p w14:paraId="4C6CE89C" w14:textId="2095D1DD" w:rsidR="00BA0D03" w:rsidRDefault="00FE6671" w:rsidP="002C0362">
      <w:pPr>
        <w:spacing w:after="156"/>
        <w:ind w:firstLine="420"/>
        <w:rPr>
          <w:rFonts w:hint="eastAsia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) 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)=∫</m:t>
                </m:r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)d</m:t>
                </m:r>
                <m:r>
                  <w:rPr>
                    <w:rFonts w:ascii="Cambria Math" w:hAnsi="Cambria Math"/>
                  </w:rPr>
                  <m:t>t</m:t>
                </m:r>
              </m:e>
            </m:mr>
          </m:m>
        </m:oMath>
      </m:oMathPara>
    </w:p>
    <w:p w14:paraId="092490C0" w14:textId="77777777" w:rsidR="00BA0D03" w:rsidRDefault="00BA0D03" w:rsidP="00BA0D03">
      <w:pPr>
        <w:pStyle w:val="3"/>
      </w:pPr>
      <w:bookmarkStart w:id="28" w:name="header-n97"/>
      <w:bookmarkEnd w:id="27"/>
      <w:r>
        <w:t xml:space="preserve">11.6.6 </w:t>
      </w:r>
      <w:r>
        <w:t>单位冲激响应的分析法</w:t>
      </w:r>
      <w:bookmarkEnd w:id="28"/>
    </w:p>
    <w:p w14:paraId="5AD1D4B0" w14:textId="77777777" w:rsidR="00BA0D03" w:rsidRDefault="00BA0D03" w:rsidP="002C0362">
      <w:pPr>
        <w:spacing w:after="156"/>
        <w:ind w:firstLine="420"/>
      </w:pP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rPr>
          <w:b/>
        </w:rPr>
        <w:t xml:space="preserve"> </w:t>
      </w:r>
      <w:r>
        <w:rPr>
          <w:b/>
        </w:rPr>
        <w:t>法</w:t>
      </w:r>
    </w:p>
    <w:p w14:paraId="3ED953F5" w14:textId="77777777" w:rsidR="00BA0D03" w:rsidRDefault="00BA0D03" w:rsidP="002C0362">
      <w:pPr>
        <w:spacing w:after="156"/>
        <w:ind w:leftChars="200" w:left="420" w:firstLine="420"/>
      </w:pPr>
      <w:r>
        <w:t>将电路激励由</w:t>
      </w:r>
      <w:r>
        <w:t xml:space="preserve">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换作</w:t>
      </w:r>
      <w:r>
        <w:t xml:space="preserve">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；</w:t>
      </w:r>
    </w:p>
    <w:p w14:paraId="3276A6AF" w14:textId="77777777" w:rsidR="00BA0D03" w:rsidRDefault="00BA0D03" w:rsidP="002C0362">
      <w:pPr>
        <w:spacing w:after="156"/>
        <w:ind w:leftChars="200" w:left="420" w:firstLine="420"/>
      </w:pPr>
      <w:r>
        <w:t>计算</w:t>
      </w:r>
      <w:r>
        <w:t xml:space="preserve">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激励下相应的零状态响应</w:t>
      </w:r>
      <w:r>
        <w:t xml:space="preserve"> </w:t>
      </w:r>
      <w:r>
        <w:t>；</w:t>
      </w:r>
    </w:p>
    <w:p w14:paraId="0CE568C2" w14:textId="77777777" w:rsidR="00BA0D03" w:rsidRDefault="00BA0D03" w:rsidP="002C0362">
      <w:pPr>
        <w:spacing w:after="156"/>
        <w:ind w:leftChars="200" w:left="420" w:firstLine="420"/>
      </w:pPr>
      <w:r>
        <w:t>由</w:t>
      </w:r>
      <w:r>
        <w:t xml:space="preserve">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</w:t>
      </w:r>
      <w:r>
        <w:t>计算</w:t>
      </w:r>
      <w:r>
        <w:t xml:space="preserve">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。</w:t>
      </w:r>
    </w:p>
    <w:p w14:paraId="57F0A481" w14:textId="77777777" w:rsidR="00BA0D03" w:rsidRDefault="00BA0D03" w:rsidP="002C0362">
      <w:pPr>
        <w:spacing w:after="156"/>
        <w:ind w:firstLine="422"/>
      </w:pPr>
      <w:r>
        <w:rPr>
          <w:b/>
        </w:rPr>
        <w:t>零输入响应法</w:t>
      </w:r>
    </w:p>
    <w:p w14:paraId="45E3D463" w14:textId="77777777" w:rsidR="00BA0D03" w:rsidRDefault="00BA0D03" w:rsidP="002C0362">
      <w:pPr>
        <w:spacing w:after="156"/>
        <w:ind w:leftChars="200" w:left="420" w:firstLine="420"/>
      </w:pPr>
      <w:r>
        <w:t>确定在</w:t>
      </w:r>
      <w:r>
        <w:t xml:space="preserve">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激励下电路的初始状态；</w:t>
      </w:r>
    </w:p>
    <w:p w14:paraId="5057A68A" w14:textId="77777777" w:rsidR="00BA0D03" w:rsidRDefault="00BA0D03" w:rsidP="002C0362">
      <w:pPr>
        <w:spacing w:after="156"/>
        <w:ind w:leftChars="200" w:left="420" w:firstLine="420"/>
      </w:pPr>
      <w:r>
        <w:t>单位冲激响应即是对应电路的零输入响应。</w:t>
      </w:r>
    </w:p>
    <w:p w14:paraId="4D9CEE66" w14:textId="77777777" w:rsidR="00BA0D03" w:rsidRDefault="00BA0D03" w:rsidP="002C0362">
      <w:pPr>
        <w:spacing w:after="156"/>
        <w:ind w:firstLine="422"/>
      </w:pPr>
      <w:r>
        <w:rPr>
          <w:b/>
        </w:rPr>
        <w:t>确定初始状态的方法</w:t>
      </w:r>
    </w:p>
    <w:p w14:paraId="187298F9" w14:textId="77777777" w:rsidR="00BA0D03" w:rsidRPr="002C0362" w:rsidRDefault="00BA0D03" w:rsidP="002C0362">
      <w:pPr>
        <w:spacing w:after="156"/>
        <w:ind w:leftChars="200" w:left="420" w:firstLine="422"/>
        <w:rPr>
          <w:b/>
          <w:bCs/>
        </w:rPr>
      </w:pPr>
      <w:r w:rsidRPr="002C0362">
        <w:rPr>
          <w:b/>
          <w:bCs/>
        </w:rPr>
        <w:t>简捷法</w:t>
      </w:r>
    </w:p>
    <w:p w14:paraId="7F633ABB" w14:textId="77777777" w:rsidR="00BA0D03" w:rsidRDefault="00BA0D03" w:rsidP="002C0362">
      <w:pPr>
        <w:spacing w:after="156"/>
        <w:ind w:leftChars="400" w:left="840" w:firstLine="420"/>
      </w:pPr>
      <w:r>
        <w:lastRenderedPageBreak/>
        <w:t>在有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>
        <w:t>、</w:t>
      </w:r>
      <m:oMath>
        <m:r>
          <w:rPr>
            <w:rFonts w:ascii="Cambria Math" w:hAnsi="Cambria Math"/>
          </w:rPr>
          <m:t>C</m:t>
        </m:r>
      </m:oMath>
      <w:r>
        <w:t>元件的电路中，设冲激函数出现在</w:t>
      </w:r>
      <w:r>
        <w:t xml:space="preserve">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t>处，则在该时刻将电感器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>
        <w:t xml:space="preserve"> </w:t>
      </w:r>
      <w:r>
        <w:t>开路、电容器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</w:t>
      </w:r>
      <w:r>
        <w:t>短路，来确定开路电压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t>与短路电流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,</w:t>
      </w:r>
      <w:r>
        <w:t>由此来求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0+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t>：</w:t>
      </w:r>
    </w:p>
    <w:bookmarkStart w:id="29" w:name="12"/>
    <w:p w14:paraId="1CD11391" w14:textId="4D20EC6A" w:rsidR="00BA0D03" w:rsidRDefault="00FE6671" w:rsidP="002C0362">
      <w:pPr>
        <w:spacing w:after="156"/>
        <w:ind w:leftChars="400" w:left="840" w:firstLine="420"/>
        <w:rPr>
          <w:rFonts w:hint="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0-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</m:oMath>
      </m:oMathPara>
    </w:p>
    <w:bookmarkEnd w:id="29"/>
    <w:p w14:paraId="1BE8706E" w14:textId="77777777" w:rsidR="00BA0D03" w:rsidRDefault="00BA0D03" w:rsidP="002C0362">
      <w:pPr>
        <w:spacing w:after="156"/>
        <w:ind w:leftChars="400" w:left="840" w:firstLine="420"/>
      </w:pPr>
      <w:r>
        <w:t>和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0+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t>：</w:t>
      </w:r>
    </w:p>
    <w:bookmarkStart w:id="30" w:name="13"/>
    <w:p w14:paraId="3F2DDBC4" w14:textId="3DD4E577" w:rsidR="00BA0D03" w:rsidRDefault="00FE6671" w:rsidP="002C0362">
      <w:pPr>
        <w:spacing w:after="156"/>
        <w:ind w:leftChars="400" w:left="840" w:firstLine="420"/>
        <w:rPr>
          <w:rFonts w:hint="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0-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</m:oMath>
      </m:oMathPara>
    </w:p>
    <w:bookmarkEnd w:id="30"/>
    <w:p w14:paraId="42C71387" w14:textId="67F28995" w:rsidR="00245B94" w:rsidRDefault="00BA0D03" w:rsidP="00B8383E">
      <w:pPr>
        <w:spacing w:after="156"/>
        <w:ind w:leftChars="200" w:left="420" w:firstLine="422"/>
        <w:rPr>
          <w:b/>
          <w:bCs/>
        </w:rPr>
      </w:pPr>
      <w:r w:rsidRPr="002C0362">
        <w:rPr>
          <w:b/>
          <w:bCs/>
        </w:rPr>
        <w:t>零输入响应法</w:t>
      </w:r>
    </w:p>
    <w:p w14:paraId="5E9501E1" w14:textId="77777777" w:rsidR="00B8383E" w:rsidRPr="00B8383E" w:rsidRDefault="00B8383E" w:rsidP="00B8383E">
      <w:pPr>
        <w:spacing w:after="156"/>
        <w:ind w:leftChars="200" w:left="420" w:firstLine="422"/>
        <w:rPr>
          <w:b/>
          <w:bCs/>
        </w:rPr>
      </w:pPr>
      <w:bookmarkStart w:id="31" w:name="_GoBack"/>
      <w:bookmarkEnd w:id="31"/>
    </w:p>
    <w:sectPr w:rsidR="00B8383E" w:rsidRPr="00B8383E" w:rsidSect="006D5E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D177A" w14:textId="77777777" w:rsidR="00E533D7" w:rsidRDefault="00E533D7" w:rsidP="00E533D7">
      <w:pPr>
        <w:spacing w:after="120"/>
        <w:ind w:firstLine="420"/>
      </w:pPr>
      <w:r>
        <w:separator/>
      </w:r>
    </w:p>
  </w:endnote>
  <w:endnote w:type="continuationSeparator" w:id="0">
    <w:p w14:paraId="3B9D3489" w14:textId="77777777" w:rsidR="00E533D7" w:rsidRDefault="00E533D7" w:rsidP="00E533D7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79168" w14:textId="77777777" w:rsidR="00E533D7" w:rsidRDefault="00E533D7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</w:rPr>
      <w:id w:val="2091738443"/>
      <w:docPartObj>
        <w:docPartGallery w:val="Page Numbers (Bottom of Page)"/>
        <w:docPartUnique/>
      </w:docPartObj>
    </w:sdtPr>
    <w:sdtEndPr/>
    <w:sdtContent>
      <w:p w14:paraId="53C5073B" w14:textId="4BD8FD29" w:rsidR="00E533D7" w:rsidRPr="00E533D7" w:rsidRDefault="00E533D7" w:rsidP="00E533D7">
        <w:pPr>
          <w:spacing w:after="120"/>
          <w:ind w:leftChars="200" w:left="420" w:firstLineChars="0" w:firstLine="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070D5C" wp14:editId="044E283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8724B" w14:textId="77777777" w:rsidR="00E533D7" w:rsidRPr="00E533D7" w:rsidRDefault="00E533D7" w:rsidP="00E533D7">
                              <w:pPr>
                                <w:spacing w:after="120"/>
                                <w:ind w:firstLineChars="0" w:firstLine="0"/>
                                <w:jc w:val="center"/>
                                <w:rPr>
                                  <w:rFonts w:ascii="Century Gothic" w:hAnsi="Century Gothic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E533D7">
                                <w:rPr>
                                  <w:rFonts w:ascii="Century Gothic" w:eastAsiaTheme="minorEastAsia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begin"/>
                              </w:r>
                              <w:r w:rsidRPr="00E533D7">
                                <w:rPr>
                                  <w:rFonts w:ascii="Century Gothic" w:hAnsi="Century Gothic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instrText>PAGE    \* MERGEFORMAT</w:instrText>
                              </w:r>
                              <w:r w:rsidRPr="00E533D7">
                                <w:rPr>
                                  <w:rFonts w:ascii="Century Gothic" w:eastAsiaTheme="minorEastAsia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separate"/>
                              </w:r>
                              <w:r w:rsidRPr="00E533D7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  <w:r w:rsidRPr="00E533D7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070D5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" adj="21600" fillcolor="#d2eaf1" stroked="f">
                  <v:textbox>
                    <w:txbxContent>
                      <w:p w14:paraId="2298724B" w14:textId="77777777" w:rsidR="00E533D7" w:rsidRPr="00E533D7" w:rsidRDefault="00E533D7" w:rsidP="00E533D7">
                        <w:pPr>
                          <w:spacing w:after="120"/>
                          <w:ind w:firstLineChars="0" w:firstLine="0"/>
                          <w:jc w:val="center"/>
                          <w:rPr>
                            <w:rFonts w:ascii="Century Gothic" w:hAnsi="Century Gothic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E533D7">
                          <w:rPr>
                            <w:rFonts w:ascii="Century Gothic" w:eastAsiaTheme="minorEastAsia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begin"/>
                        </w:r>
                        <w:r w:rsidRPr="00E533D7">
                          <w:rPr>
                            <w:rFonts w:ascii="Century Gothic" w:hAnsi="Century Gothic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instrText>PAGE    \* MERGEFORMAT</w:instrText>
                        </w:r>
                        <w:r w:rsidRPr="00E533D7">
                          <w:rPr>
                            <w:rFonts w:ascii="Century Gothic" w:eastAsiaTheme="minorEastAsia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separate"/>
                        </w:r>
                        <w:r w:rsidRPr="00E533D7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2</w:t>
                        </w:r>
                        <w:r w:rsidRPr="00E533D7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A7F20" w14:textId="77777777" w:rsidR="00E533D7" w:rsidRDefault="00E533D7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141F2" w14:textId="77777777" w:rsidR="00E533D7" w:rsidRDefault="00E533D7" w:rsidP="00E533D7">
      <w:pPr>
        <w:spacing w:after="120"/>
        <w:ind w:firstLine="420"/>
      </w:pPr>
      <w:r>
        <w:separator/>
      </w:r>
    </w:p>
  </w:footnote>
  <w:footnote w:type="continuationSeparator" w:id="0">
    <w:p w14:paraId="0A5E0836" w14:textId="77777777" w:rsidR="00E533D7" w:rsidRDefault="00E533D7" w:rsidP="00E533D7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50A84" w14:textId="77777777" w:rsidR="00E533D7" w:rsidRDefault="00E533D7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B4ABC" w14:textId="5C5910C1" w:rsidR="00E533D7" w:rsidRPr="00136B05" w:rsidRDefault="00FE6671" w:rsidP="00136B05">
    <w:pPr>
      <w:spacing w:after="120"/>
      <w:ind w:firstLineChars="0" w:firstLine="0"/>
      <w:jc w:val="distribute"/>
      <w:rPr>
        <w:rFonts w:ascii="Century Gothic" w:hAnsi="Century Gothic"/>
        <w:sz w:val="28"/>
        <w:szCs w:val="28"/>
      </w:rPr>
    </w:pPr>
    <w:hyperlink r:id="rId1" w:history="1">
      <w:r w:rsidR="00136B05" w:rsidRPr="008A2AD5">
        <w:rPr>
          <w:rStyle w:val="ab"/>
          <w:rFonts w:ascii="Century Gothic" w:hAnsi="Century Gothic"/>
          <w:sz w:val="28"/>
          <w:szCs w:val="28"/>
        </w:rPr>
        <w:t>www.swjtu.top</w:t>
      </w:r>
    </w:hyperlink>
    <w:r w:rsidR="00136B05">
      <w:rPr>
        <w:rFonts w:ascii="Century Gothic" w:hAnsi="Century Gothic"/>
        <w:sz w:val="28"/>
        <w:szCs w:val="28"/>
      </w:rPr>
      <w:t xml:space="preserve">                                              </w:t>
    </w:r>
    <w:r w:rsidR="00136B05">
      <w:rPr>
        <w:rFonts w:ascii="Century Gothic" w:hAnsi="Century Gothic" w:hint="eastAsia"/>
        <w:sz w:val="28"/>
        <w:szCs w:val="28"/>
      </w:rPr>
      <w:t>©</w:t>
    </w:r>
    <w:r w:rsidR="00136B05">
      <w:rPr>
        <w:rFonts w:ascii="Century Gothic" w:hAnsi="Century Gothic"/>
        <w:sz w:val="28"/>
        <w:szCs w:val="28"/>
      </w:rPr>
      <w:t>Xiaohei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E5B" w14:textId="77777777" w:rsidR="00E533D7" w:rsidRDefault="00E533D7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0EDE9C2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5BC6B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55A4546"/>
    <w:multiLevelType w:val="multilevel"/>
    <w:tmpl w:val="968E53C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98"/>
    <w:rsid w:val="000B3CA6"/>
    <w:rsid w:val="00136B05"/>
    <w:rsid w:val="00245B94"/>
    <w:rsid w:val="002C0362"/>
    <w:rsid w:val="004228A0"/>
    <w:rsid w:val="004D4728"/>
    <w:rsid w:val="00511898"/>
    <w:rsid w:val="00682103"/>
    <w:rsid w:val="006D5E1F"/>
    <w:rsid w:val="00927A07"/>
    <w:rsid w:val="00A20255"/>
    <w:rsid w:val="00AD6042"/>
    <w:rsid w:val="00B8383E"/>
    <w:rsid w:val="00BA0D03"/>
    <w:rsid w:val="00DC29AC"/>
    <w:rsid w:val="00E533D7"/>
    <w:rsid w:val="00F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E75BFB8"/>
  <w15:chartTrackingRefBased/>
  <w15:docId w15:val="{5EA4A764-CBB6-4173-9B17-72D57561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B94"/>
    <w:pPr>
      <w:widowControl w:val="0"/>
      <w:spacing w:afterLines="50" w:after="5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45B94"/>
    <w:pPr>
      <w:spacing w:after="156"/>
      <w:ind w:firstLineChars="0" w:firstLine="0"/>
      <w:jc w:val="center"/>
      <w:outlineLvl w:val="0"/>
    </w:pPr>
    <w:rPr>
      <w:rFonts w:ascii="Century Gothic" w:eastAsia="华文中宋" w:hAnsi="Century Gothic" w:cs="Times New Roman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45B94"/>
    <w:pPr>
      <w:spacing w:after="156"/>
      <w:ind w:firstLineChars="0" w:firstLine="0"/>
      <w:outlineLvl w:val="1"/>
    </w:pPr>
    <w:rPr>
      <w:rFonts w:ascii="Century Gothic" w:eastAsia="华文中宋" w:hAnsi="Century Gothic" w:cs="Times New Roman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5B94"/>
    <w:pPr>
      <w:spacing w:after="156"/>
      <w:ind w:firstLineChars="0" w:firstLine="0"/>
      <w:outlineLvl w:val="2"/>
    </w:pPr>
    <w:rPr>
      <w:rFonts w:ascii="Century Gothic" w:eastAsia="华文中宋" w:hAnsi="Century Gothic" w:cs="Times New Roman"/>
      <w:sz w:val="24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45B94"/>
    <w:pPr>
      <w:spacing w:after="156"/>
      <w:ind w:firstLineChars="0" w:firstLine="0"/>
      <w:outlineLvl w:val="3"/>
    </w:pPr>
    <w:rPr>
      <w:rFonts w:ascii="Century Gothic" w:eastAsia="华文中宋" w:hAnsi="Century Gothic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5B94"/>
    <w:rPr>
      <w:rFonts w:ascii="Century Gothic" w:eastAsia="华文中宋" w:hAnsi="Century Gothic" w:cs="Times New Roman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245B94"/>
    <w:rPr>
      <w:rFonts w:ascii="Century Gothic" w:eastAsia="华文中宋" w:hAnsi="Century Gothic" w:cs="Times New Roman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45B94"/>
    <w:rPr>
      <w:rFonts w:ascii="Century Gothic" w:eastAsia="华文中宋" w:hAnsi="Century Gothic" w:cs="Times New Roman"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245B94"/>
    <w:rPr>
      <w:rFonts w:ascii="Century Gothic" w:eastAsia="华文中宋" w:hAnsi="Century Gothic" w:cs="Times New Roman"/>
    </w:rPr>
  </w:style>
  <w:style w:type="paragraph" w:styleId="a3">
    <w:name w:val="List Paragraph"/>
    <w:basedOn w:val="a"/>
    <w:uiPriority w:val="34"/>
    <w:qFormat/>
    <w:rsid w:val="00245B94"/>
    <w:pPr>
      <w:ind w:firstLine="420"/>
    </w:pPr>
  </w:style>
  <w:style w:type="paragraph" w:styleId="a4">
    <w:name w:val="header"/>
    <w:basedOn w:val="a"/>
    <w:link w:val="a5"/>
    <w:uiPriority w:val="99"/>
    <w:unhideWhenUsed/>
    <w:rsid w:val="00E53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33D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3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33D7"/>
    <w:rPr>
      <w:rFonts w:ascii="Times New Roman" w:eastAsia="宋体" w:hAnsi="Times New Roman"/>
      <w:sz w:val="18"/>
      <w:szCs w:val="18"/>
    </w:rPr>
  </w:style>
  <w:style w:type="paragraph" w:styleId="a8">
    <w:name w:val="Body Text"/>
    <w:basedOn w:val="a"/>
    <w:link w:val="a9"/>
    <w:qFormat/>
    <w:rsid w:val="00BA0D03"/>
    <w:pPr>
      <w:widowControl/>
      <w:spacing w:before="180" w:afterLines="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character" w:customStyle="1" w:styleId="a9">
    <w:name w:val="正文文本 字符"/>
    <w:basedOn w:val="a0"/>
    <w:link w:val="a8"/>
    <w:rsid w:val="00BA0D03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8"/>
    <w:next w:val="a8"/>
    <w:qFormat/>
    <w:rsid w:val="00BA0D03"/>
  </w:style>
  <w:style w:type="character" w:styleId="aa">
    <w:name w:val="Placeholder Text"/>
    <w:basedOn w:val="a0"/>
    <w:uiPriority w:val="99"/>
    <w:semiHidden/>
    <w:rsid w:val="000B3CA6"/>
    <w:rPr>
      <w:color w:val="808080"/>
    </w:rPr>
  </w:style>
  <w:style w:type="character" w:styleId="ab">
    <w:name w:val="Hyperlink"/>
    <w:basedOn w:val="a0"/>
    <w:uiPriority w:val="99"/>
    <w:unhideWhenUsed/>
    <w:rsid w:val="00136B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wjtu.to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Moby</dc:creator>
  <cp:keywords/>
  <dc:description/>
  <cp:lastModifiedBy>小黑</cp:lastModifiedBy>
  <cp:revision>16</cp:revision>
  <dcterms:created xsi:type="dcterms:W3CDTF">2019-08-27T12:09:00Z</dcterms:created>
  <dcterms:modified xsi:type="dcterms:W3CDTF">2019-12-18T12:47:00Z</dcterms:modified>
</cp:coreProperties>
</file>