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92d6f8346bb84efb" /></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14:paraId="00100000" w14:textId="00100001">
      <w:pPr>
        <w:spacing w:before="360" w:after="140"/>
        <w:jc w:val="center"/>
      </w:pPr>
      <w:r>
        <w:rPr>
          <w:rFonts w:ascii="Arial" w:hAnsi="Arial"/>
          <w:b/>
          <w:i w:val="0"/>
          <w:color w:val="0F2A43"/>
          <w:sz w:val="38"/>
        </w:rPr>
        <w:t>Explanation Stability and Post-hoc Trust Governance</w:t>
        <w:br/>
        <w:t>for Class-Incremental Network Traffic Classification</w:t>
      </w:r>
    </w:p>
    <w:p w14:paraId="00100002" w14:textId="00100003">
      <w:pPr>
        <w:spacing w:after="260"/>
        <w:jc w:val="center"/>
      </w:pPr>
      <w:r>
        <w:rPr>
          <w:rFonts w:ascii="Arial" w:hAnsi="Arial"/>
          <w:b w:val="0"/>
          <w:i/>
          <w:color w:val="188B84"/>
          <w:sz w:val="23"/>
        </w:rPr>
        <w:t>OFRA prediction with an offline ETG evidence ledger</w:t>
      </w:r>
    </w:p>
    <w:p w14:paraId="00100004" w14:textId="00100005">
      <w:pPr>
        <w:spacing w:after="320"/>
        <w:jc w:val="center"/>
      </w:pPr>
      <w:r>
        <w:rPr>
          <w:rFonts w:ascii="Arial" w:hAnsi="Arial"/>
          <w:b/>
          <w:i w:val="0"/>
          <w:sz w:val="21"/>
        </w:rPr>
        <w:t>WU LIQIANG</w:t>
      </w:r>
    </w:p>
    <w:p w14:paraId="00100006" w14:textId="00100007">
      <w:pPr>
        <w:pStyle w:val="Heading1"/>
        <w:keepNext/>
      </w:pPr>
      <w:r>
        <w:t>Abstract</w:t>
      </w:r>
    </w:p>
    <w:p w14:paraId="00100008" w14:textId="001001A1">
      <w:pPr>
        <w:spacing w:before="0" w:after="100" w:line="259" w:lineRule="auto"/>
        <w:jc w:val="both"/>
      </w:pPr>
      <w:r>
        <w:rPr>
          <w:rFonts w:ascii="Arial" w:hAnsi="Arial"/>
          <w:b w:val="0"/>
          <w:i w:val="0"/>
          <w:sz w:val="20"/>
        </w:rPr>
        <w:t xml:space="preserve">Class-incremental network-traffic classification requires a model to learn newly introduced classes without an oracle task identifier while retaining earlier decisions. This paper studies prediction, explanation stability, and post-hoc governance as linked but separately bounded layers. OFRA combines a shared tabular encoder, family-specific low-rank binary heads, bounded replay, and a DP-Means router. Expected-Gradients SHAP explains the registered joint-cap class margin, and ETG records certification, refusal, escalation, and strict recertification outcomes without changing the prediction. Four FT-Transformer 512x12 seeds on MalayaNetwork_GT and NSL-KDD provide descriptive main-protocol evidence. A five-seed Malaya TabM-OFRA comparison raises joint-cap accuracy by 5.23 percentage points on four common seeds but does not materially improve Macro-F1, balanced accuracy, or forgetting. A source-bound Malaya seed-1 analysis identifies 12 silent-drift events among 17 eligible transitions and executes the ETG state machine on the same routed score. A three-method robustness pilot quantifies attribution dependence, while a no-look-ahead audit confirms Task-0-only numerical scaling but identifies bounded future-category schema exposure in NSL-KDD and UNSW-NB15. A separate CIC-IDS-2018 FT256x4 five-seed closure shows higher class-balanced metrics under joint routing but lower overall accuracy and higher forgetting. The evidence supports a reproducible offline audit pipeline, not an online feedback loop or a universal performance gain.</w:t>
      </w:r>
    </w:p>
    <w:p w14:paraId="0010019D" w14:textId="0010019E">
      <w:pPr>
        <w:pStyle w:val="Normal"/>
      </w:pPr>
      <w:r>
        <w:rPr/>
        <w:t xml:space="preserve">The cumulative CatBoost and TabM rows retrain on all seen-class training samples and therefore have more information than OFRA's bounded replay pipeline. They diagnose classification headroom but cannot isolate the effect of the encoder, family heads, router, or memory budget. The CatBoost 400-tree setting is exploratory because it followed a seed-1 sensitivity check; no confirmatory superiority claim is made.</w:t>
      </w:r>
    </w:p>
    <w:p w14:paraId="0010000A" w14:textId="0010000B">
      <w:pPr>
        <w:spacing w:before="0" w:after="100" w:line="259" w:lineRule="auto"/>
        <w:jc w:val="left"/>
      </w:pPr>
      <w:r>
        <w:rPr>
          <w:rFonts w:ascii="Arial" w:hAnsi="Arial"/>
          <w:b w:val="0"/>
          <w:i/>
          <w:sz w:val="20"/>
        </w:rPr>
        <w:t>Keywords: class-incremental learning; network traffic classification; explainable AI; explanation drift; SHAP; trust governance; intrusion detection.</w:t>
      </w:r>
    </w:p>
    <w:p w14:paraId="0010000C" w14:textId="0010000D">
      <w:pPr>
        <w:pStyle w:val="Heading1"/>
        <w:keepNext/>
      </w:pPr>
      <w:r>
        <w:t>1. Introduction</w:t>
      </w:r>
    </w:p>
    <w:p w14:paraId="0010000E" w14:textId="0010000F">
      <w:pPr>
        <w:pStyle w:val="Heading2"/>
        <w:keepNext/>
      </w:pPr>
      <w:r>
        <w:t>1.1 Background and motivation</w:t>
      </w:r>
    </w:p>
    <w:p w14:paraId="00100010" w14:textId="00100011">
      <w:pPr>
        <w:spacing w:before="0" w:after="100" w:line="259" w:lineRule="auto"/>
        <w:jc w:val="both"/>
      </w:pPr>
      <w:r>
        <w:rPr>
          <w:rFonts w:ascii="Arial" w:hAnsi="Arial"/>
          <w:b w:val="0"/>
          <w:i w:val="0"/>
          <w:sz w:val="20"/>
        </w:rPr>
        <w:t>Network traffic changes as applications, services, attacker behaviour, and collection environments evolve. A fixed classifier therefore becomes incomplete, but repeatedly retraining one shared model can overwrite knowledge of earlier classes. Class-incremental learning addresses this setting by presenting new classes sequentially and evaluating all classes observed so far. For a security-facing system, predictive retention is only one requirement. Analysts may also rely on explanations to understand why a class score was produced, so a stable accuracy value does not by itself guarantee stable decision evidence.</w:t>
      </w:r>
    </w:p>
    <w:p w14:paraId="00100012" w14:textId="00100013">
      <w:pPr>
        <w:spacing w:before="0" w:after="100" w:line="259" w:lineRule="auto"/>
        <w:jc w:val="both"/>
      </w:pPr>
      <w:r>
        <w:rPr>
          <w:rFonts w:ascii="Arial" w:hAnsi="Arial"/>
          <w:b w:val="0"/>
          <w:i w:val="0"/>
          <w:sz w:val="20"/>
        </w:rPr>
        <w:t>This study distinguishes prediction, explanation, and governance. OFRA produces the class decision. SHAP explains the registered winning-class margin at stored checkpoints. ETG consumes performance and explanation evidence after inference and writes a governance ledger. This separation prevents an explanation-quality failure from silently cancelling an intrusion alert, while also avoiding the stronger claim that ETG already controls the learner.</w:t>
      </w:r>
    </w:p>
    <w:p w14:paraId="00100014" w14:textId="00100015">
      <w:pPr>
        <w:pStyle w:val="Heading2"/>
        <w:keepNext/>
      </w:pPr>
      <w:r>
        <w:t>1.2 Problem statement</w:t>
      </w:r>
    </w:p>
    <w:p w14:paraId="00100016" w14:textId="00100017">
      <w:pPr>
        <w:spacing w:before="0" w:after="100" w:line="259" w:lineRule="auto"/>
        <w:jc w:val="both"/>
      </w:pPr>
      <w:r>
        <w:rPr>
          <w:rFonts w:ascii="Arial" w:hAnsi="Arial"/>
          <w:b w:val="0"/>
          <w:i w:val="0"/>
          <w:sz w:val="20"/>
        </w:rPr>
        <w:t>Current class-incremental NIDS evaluation commonly prioritises accuracy and forgetting, whereas explanation stability and operational response are less consistently measured. A valid audit must explain the same score used by the registered inference path; an approximate wrapper or a separate surrogate model cannot establish governance of the deployed decision. The present study therefore uses a source-bound analysis of OFRA's registered joint-cap score. The remaining problem is to determine whether the current predictor retains useful performance across increments, whether its explanation ranking changes under performance-preserved transitions, and how uncertain or unstable explanations should be recorded without overstating deployment maturity.</w:t>
      </w:r>
    </w:p>
    <w:p w14:paraId="00100018" w14:textId="00100019">
      <w:pPr>
        <w:pStyle w:val="Heading2"/>
        <w:keepNext/>
      </w:pPr>
      <w:r>
        <w:t>1.3 Research questions and objectives</w:t>
      </w:r>
    </w:p>
    <w:p w14:paraId="0010001A" w14:textId="0010001B">
      <w:pPr>
        <w:spacing w:before="0" w:after="100" w:line="259" w:lineRule="auto"/>
        <w:jc w:val="both"/>
      </w:pPr>
      <w:r>
        <w:rPr>
          <w:rFonts w:ascii="Arial" w:hAnsi="Arial"/>
          <w:b/>
          <w:i w:val="0"/>
          <w:sz w:val="20"/>
        </w:rPr>
        <w:t>RQ1:</w:t>
      </w:r>
      <w:r>
        <w:rPr>
          <w:rFonts w:ascii="Arial" w:hAnsi="Arial"/>
          <w:b w:val="0"/>
          <w:i w:val="0"/>
          <w:sz w:val="20"/>
        </w:rPr>
        <w:t xml:space="preserve"> Under legitimate class-incremental model updates, how stable are the feature attributions supporting OFRA's registered routed decision when class-level predictive performance remains within a declared stability rule?</w:t>
      </w:r>
    </w:p>
    <w:p w14:paraId="0010001C" w14:textId="00100114">
      <w:pPr>
        <w:spacing w:before="0" w:after="100" w:line="259" w:lineRule="auto"/>
        <w:jc w:val="both"/>
      </w:pPr>
      <w:r>
        <w:rPr>
          <w:rFonts w:ascii="Arial" w:hAnsi="Arial"/>
          <w:b/>
          <w:i w:val="0"/>
          <w:sz w:val="20"/>
        </w:rPr>
        <w:t xml:space="preserve">RQ2: What accuracy, Macro-F1, balanced-accuracy, and forgetting trade-offs arise between registered OFRA decision arms, and what additional headroom is indicated by bounded classifier comparisons?</w:t>
      </w:r>
    </w:p>
    <w:p w14:paraId="0010001E" w14:textId="0010001F">
      <w:pPr>
        <w:spacing w:before="0" w:after="100" w:line="259" w:lineRule="auto"/>
        <w:jc w:val="both"/>
      </w:pPr>
      <w:r>
        <w:rPr>
          <w:rFonts w:ascii="Arial" w:hAnsi="Arial"/>
          <w:b/>
          <w:i w:val="0"/>
          <w:sz w:val="20"/>
        </w:rPr>
        <w:t>RQ3:</w:t>
      </w:r>
      <w:r>
        <w:rPr>
          <w:rFonts w:ascii="Arial" w:hAnsi="Arial"/>
          <w:b w:val="0"/>
          <w:i w:val="0"/>
          <w:sz w:val="20"/>
        </w:rPr>
        <w:t xml:space="preserve"> How can explanation evidence be certified, refused, escalated, and re-certified after prediction without suppressing the underlying network-classification alert?</w:t>
      </w:r>
    </w:p>
    <w:p w14:paraId="00100020" w14:textId="00100115">
      <w:pPr>
        <w:spacing w:before="0" w:after="100" w:line="259" w:lineRule="auto"/>
        <w:jc w:val="both"/>
      </w:pPr>
      <w:r>
        <w:rPr>
          <w:rFonts w:ascii="Arial" w:hAnsi="Arial"/>
          <w:b w:val="0"/>
          <w:i w:val="0"/>
          <w:sz w:val="20"/>
        </w:rPr>
        <w:t xml:space="preserve">RO1 is to implement a fixed-probe, adjacent-checkpoint protocol for the actual joint-cap class margin. RO2 is to compare registered OFRA decision arms and bounded encoder or classifier diagnostics without changing the primary method or mixing unmatched protocols. RO3 is to operate an offline ETG ledger whose state transitions and limitations are explicitly auditable.</w:t>
      </w:r>
    </w:p>
    <w:p w14:paraId="00100022" w14:textId="00100023">
      <w:pPr>
        <w:pStyle w:val="Heading1"/>
        <w:keepNext/>
      </w:pPr>
      <w:r>
        <w:t>2. Related Work</w:t>
      </w:r>
    </w:p>
    <w:p w14:paraId="00100024" w14:textId="00100025">
      <w:pPr>
        <w:pStyle w:val="Heading2"/>
        <w:keepNext/>
      </w:pPr>
      <w:r>
        <w:t>2.1 Continual learning and parameter-efficient adaptation</w:t>
      </w:r>
    </w:p>
    <w:p w14:paraId="00100026" w14:textId="0010011C">
      <w:pPr>
        <w:spacing w:before="0" w:after="100" w:line="259" w:lineRule="auto"/>
        <w:jc w:val="both"/>
      </w:pPr>
      <w:r>
        <w:rPr>
          <w:rFonts w:ascii="Arial" w:hAnsi="Arial"/>
          <w:b w:val="0"/>
          <w:i w:val="0"/>
          <w:sz w:val="20"/>
        </w:rPr>
        <w:t xml:space="preserve">Catastrophic forgetting motivates regularisation, rehearsal, distillation, exemplar, and parameter-isolation methods in continual learning (French, 1999; Kirkpatrick et al., 2017; Rebuffi et al., 2017). LoRA freezes a base transformation and represents a trainable update with low-rank matrices (Hu et al., 2022). For tabular representation learning, TabM uses parameter-efficient ensembling to produce multiple predictions within one model (Gorishniy et al., 2025), while CatBoost is a gradient-boosted tree method designed to reduce prediction shift in boosting (Prokhorenkova et al., 2018). The present family-specific low-rank head and TabM mean-embedding adapter are project integration choices; neither is presented as a new derivation of the cited methods.</w:t>
      </w:r>
    </w:p>
    <w:p w14:paraId="00100028" w14:textId="00100029">
      <w:pPr>
        <w:pStyle w:val="Heading2"/>
        <w:keepNext/>
      </w:pPr>
      <w:r>
        <w:t>2.2 Explanation drift and IDS governance</w:t>
      </w:r>
    </w:p>
    <w:p w14:paraId="0010002A" w14:textId="0010002B">
      <w:pPr>
        <w:spacing w:before="0" w:after="100" w:line="259" w:lineRule="auto"/>
        <w:jc w:val="both"/>
      </w:pPr>
      <w:r>
        <w:rPr>
          <w:rFonts w:ascii="Arial" w:hAnsi="Arial"/>
          <w:b w:val="0"/>
          <w:i w:val="0"/>
          <w:sz w:val="20"/>
        </w:rPr>
        <w:t>Recent work has moved beyond one-time post-hoc explanation. E2D2 detects explanation-based drift in unsupervised NIDS, but it targets distributional drift monitoring rather than legitimate class-incremental parameter updates (Nugraha and Bauschert, 2026). Maseno et al. (2026) use SHAP instability as an auxiliary signal for adversarial evasion, whereas the present study excludes adversarial perturbation and compares consecutive learning checkpoints. Goncalves and Alomari (2026) evaluate analyst-facing SHAP and LIME explanations in cloud intrusion detection, but do not define a class-incremental explanation ledger. Adabara et al. (2025) combine SHAP, probability calibration, and uncertainty in a cognitive IDS, yet do not test non-suppressing governance actions after explanation drift. These studies establish closely related motivation, but none closes the specific gap between legitimate class expansion, the exact routed decision score, and a governance record that leaves the predictive alert active.</w:t>
      </w:r>
    </w:p>
    <w:p w14:paraId="0010002C" w14:textId="0010002D">
      <w:pPr>
        <w:spacing w:before="80" w:after="120"/>
        <w:jc w:val="center"/>
      </w:pPr>
      <w:r>
        <w:rPr>
          <w:rFonts w:ascii="Arial" w:hAnsi="Arial"/>
          <w:b w:val="0"/>
          <w:i/>
          <w:color w:val="5A646E"/>
          <w:sz w:val="17"/>
        </w:rPr>
        <w:t>Table 1. Positioning against the four recent studies identified during review.</w:t>
      </w:r>
    </w:p>
    <w:tbl>
      <w:tblPr>
        <w:tblStyle w:val="TableGrid"/>
        <w:tblW w:w="9360" w:type="dxa"/>
        <w:jc w:val="center"/>
        <w:tblLayout w:type="fixed"/>
        <w:tblLook w:val="04a0"/>
      </w:tblPr>
      <w:tblGrid>
        <w:gridCol w:w="1550"/>
        <w:gridCol w:w="2250"/>
        <w:gridCol w:w="1800"/>
        <w:gridCol w:w="3760"/>
      </w:tblGrid>
      <w:tr>
        <w:tc>
          <w:tcPr>
            <w:tcW w:w="1550" w:type="dxa"/>
            <w:shd w:val="clear" w:fill="EAF0F5"/>
            <w:tcMar>
              <w:top w:w="80" w:type="dxa"/>
              <w:start w:w="120" w:type="dxa"/>
              <w:bottom w:w="80" w:type="dxa"/>
              <w:end w:w="120" w:type="dxa"/>
            </w:tcMar>
            <w:vAlign w:val="center"/>
          </w:tcPr>
          <w:p w14:paraId="0010002E" w14:textId="0010002F">
            <w:pPr>
              <w:spacing w:after="0"/>
              <w:jc w:val="center"/>
            </w:pPr>
            <w:r>
              <w:rPr>
                <w:rFonts w:ascii="Arial" w:hAnsi="Arial"/>
                <w:b/>
                <w:i w:val="0"/>
                <w:color w:val="0F2A43"/>
                <w:sz w:val="15"/>
              </w:rPr>
              <w:t>Study</w:t>
            </w:r>
          </w:p>
        </w:tc>
        <w:tc>
          <w:tcPr>
            <w:tcW w:w="2250" w:type="dxa"/>
            <w:shd w:val="clear" w:fill="EAF0F5"/>
            <w:tcMar>
              <w:top w:w="80" w:type="dxa"/>
              <w:start w:w="120" w:type="dxa"/>
              <w:bottom w:w="80" w:type="dxa"/>
              <w:end w:w="120" w:type="dxa"/>
            </w:tcMar>
            <w:vAlign w:val="center"/>
          </w:tcPr>
          <w:p w14:paraId="00100030" w14:textId="00100031">
            <w:pPr>
              <w:spacing w:after="0"/>
              <w:jc w:val="center"/>
            </w:pPr>
            <w:r>
              <w:rPr>
                <w:rFonts w:ascii="Arial" w:hAnsi="Arial"/>
                <w:b/>
                <w:i w:val="0"/>
                <w:color w:val="0F2A43"/>
                <w:sz w:val="15"/>
              </w:rPr>
              <w:t>Drift or trust trigger</w:t>
            </w:r>
          </w:p>
        </w:tc>
        <w:tc>
          <w:tcPr>
            <w:tcW w:w="1800" w:type="dxa"/>
            <w:shd w:val="clear" w:fill="EAF0F5"/>
            <w:tcMar>
              <w:top w:w="80" w:type="dxa"/>
              <w:start w:w="120" w:type="dxa"/>
              <w:bottom w:w="80" w:type="dxa"/>
              <w:end w:w="120" w:type="dxa"/>
            </w:tcMar>
            <w:vAlign w:val="center"/>
          </w:tcPr>
          <w:p w14:paraId="00100032" w14:textId="00100033">
            <w:pPr>
              <w:spacing w:after="0"/>
              <w:jc w:val="center"/>
            </w:pPr>
            <w:r>
              <w:rPr>
                <w:rFonts w:ascii="Arial" w:hAnsi="Arial"/>
                <w:b/>
                <w:i w:val="0"/>
                <w:color w:val="0F2A43"/>
                <w:sz w:val="15"/>
              </w:rPr>
              <w:t>IDS setting</w:t>
            </w:r>
          </w:p>
        </w:tc>
        <w:tc>
          <w:tcPr>
            <w:tcW w:w="3760" w:type="dxa"/>
            <w:shd w:val="clear" w:fill="EAF0F5"/>
            <w:tcMar>
              <w:top w:w="80" w:type="dxa"/>
              <w:start w:w="120" w:type="dxa"/>
              <w:bottom w:w="80" w:type="dxa"/>
              <w:end w:w="120" w:type="dxa"/>
            </w:tcMar>
            <w:vAlign w:val="center"/>
          </w:tcPr>
          <w:p w14:paraId="00100034" w14:textId="00100035">
            <w:pPr>
              <w:spacing w:after="0"/>
              <w:jc w:val="center"/>
            </w:pPr>
            <w:r>
              <w:rPr>
                <w:rFonts w:ascii="Arial" w:hAnsi="Arial"/>
                <w:b/>
                <w:i w:val="0"/>
                <w:color w:val="0F2A43"/>
                <w:sz w:val="15"/>
              </w:rPr>
              <w:t>Gap relative to this work</w:t>
            </w:r>
          </w:p>
        </w:tc>
      </w:tr>
      <w:tr>
        <w:tc>
          <w:tcPr>
            <w:tcW w:w="1550" w:type="dxa"/>
            <w:tcMar>
              <w:top w:w="80" w:type="dxa"/>
              <w:start w:w="120" w:type="dxa"/>
              <w:bottom w:w="80" w:type="dxa"/>
              <w:end w:w="120" w:type="dxa"/>
            </w:tcMar>
            <w:vAlign w:val="center"/>
          </w:tcPr>
          <w:p w14:paraId="00100036" w14:textId="00100037">
            <w:pPr>
              <w:spacing w:after="0"/>
              <w:jc w:val="left"/>
            </w:pPr>
            <w:r>
              <w:rPr>
                <w:rFonts w:ascii="Arial" w:hAnsi="Arial"/>
                <w:b w:val="0"/>
                <w:i w:val="0"/>
                <w:sz w:val="15"/>
              </w:rPr>
              <w:t>E2D2 (2026)</w:t>
            </w:r>
          </w:p>
        </w:tc>
        <w:tc>
          <w:tcPr>
            <w:tcW w:w="2250" w:type="dxa"/>
            <w:tcMar>
              <w:top w:w="80" w:type="dxa"/>
              <w:start w:w="120" w:type="dxa"/>
              <w:bottom w:w="80" w:type="dxa"/>
              <w:end w:w="120" w:type="dxa"/>
            </w:tcMar>
            <w:vAlign w:val="center"/>
          </w:tcPr>
          <w:p w14:paraId="00100038" w14:textId="00100039">
            <w:pPr>
              <w:spacing w:after="0"/>
              <w:jc w:val="center"/>
            </w:pPr>
            <w:r>
              <w:rPr>
                <w:rFonts w:ascii="Arial" w:hAnsi="Arial"/>
                <w:b w:val="0"/>
                <w:i w:val="0"/>
                <w:sz w:val="15"/>
              </w:rPr>
              <w:t>Unsupervised explanation-based drift</w:t>
            </w:r>
          </w:p>
        </w:tc>
        <w:tc>
          <w:tcPr>
            <w:tcW w:w="1800" w:type="dxa"/>
            <w:tcMar>
              <w:top w:w="80" w:type="dxa"/>
              <w:start w:w="120" w:type="dxa"/>
              <w:bottom w:w="80" w:type="dxa"/>
              <w:end w:w="120" w:type="dxa"/>
            </w:tcMar>
            <w:vAlign w:val="center"/>
          </w:tcPr>
          <w:p w14:paraId="0010003A" w14:textId="0010003B">
            <w:pPr>
              <w:spacing w:after="0"/>
              <w:jc w:val="center"/>
            </w:pPr>
            <w:r>
              <w:rPr>
                <w:rFonts w:ascii="Arial" w:hAnsi="Arial"/>
                <w:b w:val="0"/>
                <w:i w:val="0"/>
                <w:sz w:val="15"/>
              </w:rPr>
              <w:t>Unsupervised NIDS</w:t>
            </w:r>
          </w:p>
        </w:tc>
        <w:tc>
          <w:tcPr>
            <w:tcW w:w="3760" w:type="dxa"/>
            <w:tcMar>
              <w:top w:w="80" w:type="dxa"/>
              <w:start w:w="120" w:type="dxa"/>
              <w:bottom w:w="80" w:type="dxa"/>
              <w:end w:w="120" w:type="dxa"/>
            </w:tcMar>
            <w:vAlign w:val="center"/>
          </w:tcPr>
          <w:p w14:paraId="0010003C" w14:textId="0010003D">
            <w:pPr>
              <w:spacing w:after="0"/>
              <w:jc w:val="center"/>
            </w:pPr>
            <w:r>
              <w:rPr>
                <w:rFonts w:ascii="Arial" w:hAnsi="Arial"/>
                <w:b w:val="0"/>
                <w:i w:val="0"/>
                <w:sz w:val="15"/>
              </w:rPr>
              <w:t>Not legitimate class-incremental model updates; no ETG action ledger</w:t>
            </w:r>
          </w:p>
        </w:tc>
      </w:tr>
      <w:tr>
        <w:tc>
          <w:tcPr>
            <w:tcW w:w="1550" w:type="dxa"/>
            <w:tcMar>
              <w:top w:w="80" w:type="dxa"/>
              <w:start w:w="120" w:type="dxa"/>
              <w:bottom w:w="80" w:type="dxa"/>
              <w:end w:w="120" w:type="dxa"/>
            </w:tcMar>
            <w:vAlign w:val="center"/>
          </w:tcPr>
          <w:p w14:paraId="0010003E" w14:textId="0010003F">
            <w:pPr>
              <w:spacing w:after="0"/>
              <w:jc w:val="left"/>
            </w:pPr>
            <w:r>
              <w:rPr>
                <w:rFonts w:ascii="Arial" w:hAnsi="Arial"/>
                <w:b w:val="0"/>
                <w:i w:val="0"/>
                <w:sz w:val="15"/>
              </w:rPr>
              <w:t>Maseno et al. (2026)</w:t>
            </w:r>
          </w:p>
        </w:tc>
        <w:tc>
          <w:tcPr>
            <w:tcW w:w="2250" w:type="dxa"/>
            <w:tcMar>
              <w:top w:w="80" w:type="dxa"/>
              <w:start w:w="120" w:type="dxa"/>
              <w:bottom w:w="80" w:type="dxa"/>
              <w:end w:w="120" w:type="dxa"/>
            </w:tcMar>
            <w:vAlign w:val="center"/>
          </w:tcPr>
          <w:p w14:paraId="00100040" w14:textId="00100041">
            <w:pPr>
              <w:spacing w:after="0"/>
              <w:jc w:val="center"/>
            </w:pPr>
            <w:r>
              <w:rPr>
                <w:rFonts w:ascii="Arial" w:hAnsi="Arial"/>
                <w:b w:val="0"/>
                <w:i w:val="0"/>
                <w:sz w:val="15"/>
              </w:rPr>
              <w:t>Adversarial SHAP instability</w:t>
            </w:r>
          </w:p>
        </w:tc>
        <w:tc>
          <w:tcPr>
            <w:tcW w:w="1800" w:type="dxa"/>
            <w:tcMar>
              <w:top w:w="80" w:type="dxa"/>
              <w:start w:w="120" w:type="dxa"/>
              <w:bottom w:w="80" w:type="dxa"/>
              <w:end w:w="120" w:type="dxa"/>
            </w:tcMar>
            <w:vAlign w:val="center"/>
          </w:tcPr>
          <w:p w14:paraId="00100042" w14:textId="00100043">
            <w:pPr>
              <w:spacing w:after="0"/>
              <w:jc w:val="center"/>
            </w:pPr>
            <w:r>
              <w:rPr>
                <w:rFonts w:ascii="Arial" w:hAnsi="Arial"/>
                <w:b w:val="0"/>
                <w:i w:val="0"/>
                <w:sz w:val="15"/>
              </w:rPr>
              <w:t>Recurrent multiclass IDS</w:t>
            </w:r>
          </w:p>
        </w:tc>
        <w:tc>
          <w:tcPr>
            <w:tcW w:w="3760" w:type="dxa"/>
            <w:tcMar>
              <w:top w:w="80" w:type="dxa"/>
              <w:start w:w="120" w:type="dxa"/>
              <w:bottom w:w="80" w:type="dxa"/>
              <w:end w:w="120" w:type="dxa"/>
            </w:tcMar>
            <w:vAlign w:val="center"/>
          </w:tcPr>
          <w:p w14:paraId="00100044" w14:textId="00100045">
            <w:pPr>
              <w:spacing w:after="0"/>
              <w:jc w:val="center"/>
            </w:pPr>
            <w:r>
              <w:rPr>
                <w:rFonts w:ascii="Arial" w:hAnsi="Arial"/>
                <w:b w:val="0"/>
                <w:i w:val="0"/>
                <w:sz w:val="15"/>
              </w:rPr>
              <w:t>Adversarial trigger, not benign learning increments; no non-suppressing governance</w:t>
            </w:r>
          </w:p>
        </w:tc>
      </w:tr>
      <w:tr>
        <w:tc>
          <w:tcPr>
            <w:tcW w:w="1550" w:type="dxa"/>
            <w:tcMar>
              <w:top w:w="80" w:type="dxa"/>
              <w:start w:w="120" w:type="dxa"/>
              <w:bottom w:w="80" w:type="dxa"/>
              <w:end w:w="120" w:type="dxa"/>
            </w:tcMar>
            <w:vAlign w:val="center"/>
          </w:tcPr>
          <w:p w14:paraId="00100046" w14:textId="00100047">
            <w:pPr>
              <w:spacing w:after="0"/>
              <w:jc w:val="left"/>
            </w:pPr>
            <w:r>
              <w:rPr>
                <w:rFonts w:ascii="Arial" w:hAnsi="Arial"/>
                <w:b w:val="0"/>
                <w:i w:val="0"/>
                <w:sz w:val="15"/>
              </w:rPr>
              <w:t>Goncalves and Alomari (2026)</w:t>
            </w:r>
          </w:p>
        </w:tc>
        <w:tc>
          <w:tcPr>
            <w:tcW w:w="2250" w:type="dxa"/>
            <w:tcMar>
              <w:top w:w="80" w:type="dxa"/>
              <w:start w:w="120" w:type="dxa"/>
              <w:bottom w:w="80" w:type="dxa"/>
              <w:end w:w="120" w:type="dxa"/>
            </w:tcMar>
            <w:vAlign w:val="center"/>
          </w:tcPr>
          <w:p w14:paraId="00100048" w14:textId="00100049">
            <w:pPr>
              <w:spacing w:after="0"/>
              <w:jc w:val="center"/>
            </w:pPr>
            <w:r>
              <w:rPr>
                <w:rFonts w:ascii="Arial" w:hAnsi="Arial"/>
                <w:b w:val="0"/>
                <w:i w:val="0"/>
                <w:sz w:val="15"/>
              </w:rPr>
              <w:t>Human interpretation of SHAP/LIME</w:t>
            </w:r>
          </w:p>
        </w:tc>
        <w:tc>
          <w:tcPr>
            <w:tcW w:w="1800" w:type="dxa"/>
            <w:tcMar>
              <w:top w:w="80" w:type="dxa"/>
              <w:start w:w="120" w:type="dxa"/>
              <w:bottom w:w="80" w:type="dxa"/>
              <w:end w:w="120" w:type="dxa"/>
            </w:tcMar>
            <w:vAlign w:val="center"/>
          </w:tcPr>
          <w:p w14:paraId="0010004A" w14:textId="0010004B">
            <w:pPr>
              <w:spacing w:after="0"/>
              <w:jc w:val="center"/>
            </w:pPr>
            <w:r>
              <w:rPr>
                <w:rFonts w:ascii="Arial" w:hAnsi="Arial"/>
                <w:b w:val="0"/>
                <w:i w:val="0"/>
                <w:sz w:val="15"/>
              </w:rPr>
              <w:t>AWS GuardDuty</w:t>
            </w:r>
          </w:p>
        </w:tc>
        <w:tc>
          <w:tcPr>
            <w:tcW w:w="3760" w:type="dxa"/>
            <w:tcMar>
              <w:top w:w="80" w:type="dxa"/>
              <w:start w:w="120" w:type="dxa"/>
              <w:bottom w:w="80" w:type="dxa"/>
              <w:end w:w="120" w:type="dxa"/>
            </w:tcMar>
            <w:vAlign w:val="center"/>
          </w:tcPr>
          <w:p w14:paraId="0010004C" w14:textId="0010004D">
            <w:pPr>
              <w:spacing w:after="0"/>
              <w:jc w:val="center"/>
            </w:pPr>
            <w:r>
              <w:rPr>
                <w:rFonts w:ascii="Arial" w:hAnsi="Arial"/>
                <w:b w:val="0"/>
                <w:i w:val="0"/>
                <w:sz w:val="15"/>
              </w:rPr>
              <w:t>User study rather than longitudinal routed-score stability</w:t>
            </w:r>
          </w:p>
        </w:tc>
      </w:tr>
      <w:tr>
        <w:tc>
          <w:tcPr>
            <w:tcW w:w="1550" w:type="dxa"/>
            <w:tcMar>
              <w:top w:w="80" w:type="dxa"/>
              <w:start w:w="120" w:type="dxa"/>
              <w:bottom w:w="80" w:type="dxa"/>
              <w:end w:w="120" w:type="dxa"/>
            </w:tcMar>
            <w:vAlign w:val="center"/>
          </w:tcPr>
          <w:p w14:paraId="0010004E" w14:textId="0010004F">
            <w:pPr>
              <w:spacing w:after="0"/>
              <w:jc w:val="left"/>
            </w:pPr>
            <w:r>
              <w:rPr>
                <w:rFonts w:ascii="Arial" w:hAnsi="Arial"/>
                <w:b w:val="0"/>
                <w:i w:val="0"/>
                <w:sz w:val="15"/>
              </w:rPr>
              <w:t>Adabara et al. (2025)</w:t>
            </w:r>
          </w:p>
        </w:tc>
        <w:tc>
          <w:tcPr>
            <w:tcW w:w="2250" w:type="dxa"/>
            <w:tcMar>
              <w:top w:w="80" w:type="dxa"/>
              <w:start w:w="120" w:type="dxa"/>
              <w:bottom w:w="80" w:type="dxa"/>
              <w:end w:w="120" w:type="dxa"/>
            </w:tcMar>
            <w:vAlign w:val="center"/>
          </w:tcPr>
          <w:p w14:paraId="00100050" w14:textId="00100051">
            <w:pPr>
              <w:spacing w:after="0"/>
              <w:jc w:val="center"/>
            </w:pPr>
            <w:r>
              <w:rPr>
                <w:rFonts w:ascii="Arial" w:hAnsi="Arial"/>
                <w:b w:val="0"/>
                <w:i w:val="0"/>
                <w:sz w:val="15"/>
              </w:rPr>
              <w:t>Calibration, uncertainty, and SHAP</w:t>
            </w:r>
          </w:p>
        </w:tc>
        <w:tc>
          <w:tcPr>
            <w:tcW w:w="1800" w:type="dxa"/>
            <w:tcMar>
              <w:top w:w="80" w:type="dxa"/>
              <w:start w:w="120" w:type="dxa"/>
              <w:bottom w:w="80" w:type="dxa"/>
              <w:end w:w="120" w:type="dxa"/>
            </w:tcMar>
            <w:vAlign w:val="center"/>
          </w:tcPr>
          <w:p w14:paraId="00100052" w14:textId="00100053">
            <w:pPr>
              <w:spacing w:after="0"/>
              <w:jc w:val="center"/>
            </w:pPr>
            <w:r>
              <w:rPr>
                <w:rFonts w:ascii="Arial" w:hAnsi="Arial"/>
                <w:b w:val="0"/>
                <w:i w:val="0"/>
                <w:sz w:val="15"/>
              </w:rPr>
              <w:t>CICIDS2017</w:t>
            </w:r>
          </w:p>
        </w:tc>
        <w:tc>
          <w:tcPr>
            <w:tcW w:w="3760" w:type="dxa"/>
            <w:tcMar>
              <w:top w:w="80" w:type="dxa"/>
              <w:start w:w="120" w:type="dxa"/>
              <w:bottom w:w="80" w:type="dxa"/>
              <w:end w:w="120" w:type="dxa"/>
            </w:tcMar>
            <w:vAlign w:val="center"/>
          </w:tcPr>
          <w:p w14:paraId="00100054" w14:textId="00100055">
            <w:pPr>
              <w:spacing w:after="0"/>
              <w:jc w:val="center"/>
            </w:pPr>
            <w:r>
              <w:rPr>
                <w:rFonts w:ascii="Arial" w:hAnsi="Arial"/>
                <w:b w:val="0"/>
                <w:i w:val="0"/>
                <w:sz w:val="15"/>
              </w:rPr>
              <w:t>No class-incremental sequence or explanation-state transition ledger</w:t>
            </w:r>
          </w:p>
        </w:tc>
      </w:tr>
    </w:tbl>
    <w:p w14:paraId="00100056" w14:textId="00100057">
      <w:pPr>
        <w:pStyle w:val="Heading2"/>
        <w:keepNext/>
      </w:pPr>
      <w:r>
        <w:t>2.3 Research gap</w:t>
      </w:r>
    </w:p>
    <w:p w14:paraId="00100058" w14:textId="00100059">
      <w:pPr>
        <w:spacing w:before="0" w:after="100" w:line="259" w:lineRule="auto"/>
        <w:jc w:val="both"/>
      </w:pPr>
      <w:r>
        <w:rPr>
          <w:rFonts w:ascii="Arial" w:hAnsi="Arial"/>
          <w:b w:val="0"/>
          <w:i w:val="0"/>
          <w:sz w:val="20"/>
        </w:rPr>
        <w:t>The gap is not simply the absence of SHAP in NIDS. It is the absence of a source-bound protocol that (i) explains the same routed score used for prediction, (ii) measures stability under legitimate class-incremental updates, and (iii) converts that evidence into auditable, non-suppressing governance states. This paper addresses that narrower gap and avoids claiming that explanation stability alone proves prediction correctness or security effectiveness.</w:t>
      </w:r>
    </w:p>
    <w:p w14:paraId="0010005A" w14:textId="0010005B">
      <w:pPr>
        <w:pStyle w:val="Heading1"/>
        <w:keepNext/>
      </w:pPr>
      <w:r>
        <w:t>3. Methodology</w:t>
      </w:r>
    </w:p>
    <w:p w14:paraId="0010005C" w14:textId="0010005D">
      <w:pPr>
        <w:pStyle w:val="Heading2"/>
        <w:keepNext/>
      </w:pPr>
      <w:r>
        <w:t>3.1 Scope and dataset separation</w:t>
      </w:r>
    </w:p>
    <w:p w14:paraId="0010005E" w14:textId="001001A2">
      <w:pPr>
        <w:spacing w:before="0" w:after="100" w:line="259" w:lineRule="auto"/>
        <w:jc w:val="both"/>
      </w:pPr>
      <w:r>
        <w:rPr>
          <w:rFonts w:ascii="Arial" w:hAnsi="Arial"/>
          <w:b w:val="0"/>
          <w:i w:val="0"/>
          <w:sz w:val="20"/>
        </w:rPr>
        <w:t xml:space="preserve">Each dataset is preprocessed, trained, and evaluated independently; records from different datasets are never pooled. The main FT-Transformer 512x12 evidence includes MalayaNetwork_GT and NSL-KDD seeds 1-4. Malaya is an application-traffic dataset rather than an intrusion-detection benchmark. The additive TabM-OFRA comparison has completed Malaya seeds 1, 2, 3, 4, and 42. A protocol-separated FT256x4 closure has also completed CIC-IDS-2018 seeds 1, 2, 3, 4, and 42 under a shorter 1+1-epoch schedule. That closure is reported separately and is not pooled with the main 512x12 results. Current-model formal results for UNSW-NB15 and CIC-IDS-2017 remain incomplete and are not used for performance claims here.</w:t>
      </w:r>
    </w:p>
    <w:p w14:paraId="00100060" w14:textId="001001A3">
      <w:pPr>
        <w:spacing w:before="0" w:after="100" w:line="259" w:lineRule="auto"/>
        <w:jc w:val="both"/>
      </w:pPr>
      <w:r>
        <w:rPr>
          <w:rFonts w:ascii="Arial" w:hAnsi="Arial"/>
          <w:b w:val="0"/>
          <w:i w:val="0"/>
          <w:sz w:val="20"/>
        </w:rPr>
        <w:t xml:space="preserve">Dataset-specific preprocessing removes identifiers, normalises labels, converts features to finite numerical arrays, fixes feature and class order, and constructs class-by-split shards. NSL-KDD retains its official train/test files and produces 122 features; UNSW-NB15 likewise retains its official files and produces 194 features. Malaya uses 31 derived-flow CSVs at frozen revision 384a5927..., removes IP addresses, ports, and timestamps, and holds out one capture per class, producing 77 numerical features. The capture-level Malaya split avoids leakage from correlated rows within one capture.</w:t>
      </w:r>
    </w:p>
    <w:p w14:paraId="00100062" w14:textId="001001A4">
      <w:pPr>
        <w:spacing w:before="0" w:after="100" w:line="259" w:lineRule="auto"/>
        <w:jc w:val="both"/>
      </w:pPr>
      <w:r>
        <w:rPr>
          <w:rFonts w:ascii="Arial" w:hAnsi="Arial"/>
          <w:b w:val="0"/>
          <w:i w:val="0"/>
          <w:sz w:val="20"/>
        </w:rPr>
        <w:t xml:space="preserve">The code/data no-look-ahead audit confirms that numerical standardisation reads only Task-0 training shards, freezes before pretraining, and rejects later updates. It also finds a bounded transductive categorical-schema limitation: relative to Task-0-only vocabularies, NSL-KDD has six future-only one-hot columns affecting 115 of 12,703 later-task rows (0.905%), and UNSW-NB15 has eight affecting 712 of 79,341 rows (0.897%). This is neither official-test leakage nor future-label training, but the affected preprocessing contracts are not strictly no-look-ahead. CIC-IDS-2017, CIC-IDS-2018, and Malaya have no data-derived categorical vocabulary.</w:t>
      </w:r>
    </w:p>
    <w:p w14:paraId="00100064" w14:textId="00100065">
      <w:pPr>
        <w:pStyle w:val="Heading2"/>
        <w:keepNext/>
      </w:pPr>
      <w:r>
        <w:t>3.2 OFRA architecture and registered decision arms</w:t>
      </w:r>
    </w:p>
    <w:p w14:paraId="00100066" w14:textId="00100067">
      <w:pPr>
        <w:jc w:val="center"/>
      </w:pPr>
      <w:r>
        <w:drawing>
          <wp:inline xmlns:a="http://schemas.openxmlformats.org/drawingml/2006/main" xmlns:pic="http://schemas.openxmlformats.org/drawingml/2006/picture">
            <wp:extent cx="6172200" cy="1671638"/>
            <wp:docPr id="1" name="Picture 1"/>
            <wp:cNvGraphicFramePr>
              <a:graphicFrameLocks noChangeAspect="1"/>
            </wp:cNvGraphicFramePr>
            <a:graphic>
              <a:graphicData uri="http://schemas.openxmlformats.org/drawingml/2006/picture">
                <pic:pic>
                  <pic:nvPicPr>
                    <pic:cNvPr id="0" name="architecture.jpg"/>
                    <pic:cNvPicPr/>
                  </pic:nvPicPr>
                  <pic:blipFill>
                    <a:blip r:embed="rId11"/>
                    <a:stretch>
                      <a:fillRect/>
                    </a:stretch>
                  </pic:blipFill>
                  <pic:spPr>
                    <a:xfrm>
                      <a:off x="0" y="0"/>
                      <a:ext cx="6172200" cy="1671638"/>
                    </a:xfrm>
                    <a:prstGeom prst="rect"/>
                  </pic:spPr>
                </pic:pic>
              </a:graphicData>
            </a:graphic>
          </wp:inline>
        </w:drawing>
      </w:r>
    </w:p>
    <w:p w14:paraId="00100068" w14:textId="00100069">
      <w:pPr>
        <w:spacing w:before="80" w:after="120"/>
        <w:jc w:val="center"/>
      </w:pPr>
      <w:r>
        <w:rPr>
          <w:rFonts w:ascii="Arial" w:hAnsi="Arial"/>
          <w:b w:val="0"/>
          <w:i/>
          <w:color w:val="5A646E"/>
          <w:sz w:val="17"/>
        </w:rPr>
        <w:t>Figure 1. End-to-end OFRA inference. The DP-Means router supplies soft class evidence; it is not a hard selector of one family head.</w:t>
      </w:r>
    </w:p>
    <w:p w14:paraId="0010006A" w14:textId="0010006B">
      <w:pPr>
        <w:spacing w:before="0" w:after="100" w:line="259" w:lineRule="auto"/>
        <w:jc w:val="both"/>
      </w:pPr>
      <w:r>
        <w:rPr>
          <w:rFonts w:ascii="Arial" w:hAnsi="Arial"/>
          <w:b w:val="0"/>
          <w:i w:val="0"/>
          <w:sz w:val="20"/>
        </w:rPr>
        <w:t>The shared FT-Transformer maps a numerical row to a 512-dimensional representation using 12 layers, 16 attention heads, head dimension 32, and dropout 0.1. Task 0 is trained for eight epochs; each later task is trained for ten epochs. Each seen class has a rank-8, alpha-16 positive-versus-negative low-rank head. Replay retains at most 50 exemplars per class from a candidate pool of at most 5,000.</w:t>
      </w:r>
    </w:p>
    <w:p w14:paraId="0010006C" w14:textId="0010006D">
      <w:pPr>
        <w:spacing w:before="0" w:after="100" w:line="259" w:lineRule="auto"/>
        <w:jc w:val="both"/>
      </w:pPr>
      <w:r>
        <w:rPr>
          <w:rFonts w:ascii="Arial" w:hAnsi="Arial"/>
          <w:b w:val="0"/>
          <w:i w:val="0"/>
          <w:sz w:val="20"/>
        </w:rPr>
        <w:t>The DP-Means router stores up to 32 centroids per class. The capped router fits centroids from at most 3,000 selected training samples per class; the cap limits router fitting cost and majority-class influence, not test-set size. The registered arms are head-only p(c,x), router-only z(c,x), and joint p(c,x)+0.5z(c,x), each with capped and full router variants. Prediction is the global argmax across all seen classes. The joint weight 0.5, cap 3,000, distance quantile 0.3, and centroid limit 32 are study-defined registered settings rather than universal constants.</w:t>
      </w:r>
    </w:p>
    <w:p w14:paraId="0010006E" w14:textId="0010006F">
      <w:pPr>
        <w:pStyle w:val="Heading2"/>
        <w:keepNext/>
      </w:pPr>
      <w:r>
        <w:t>3.3 Training, metrics, and statistical boundary</w:t>
      </w:r>
    </w:p>
    <w:p w14:paraId="00100070" w14:textId="0010011E">
      <w:pPr>
        <w:spacing w:before="0" w:after="100" w:line="259" w:lineRule="auto"/>
        <w:jc w:val="both"/>
      </w:pPr>
      <w:r>
        <w:rPr>
          <w:rFonts w:ascii="Arial" w:hAnsi="Arial"/>
          <w:b w:val="0"/>
          <w:i w:val="0"/>
          <w:sz w:val="20"/>
        </w:rPr>
        <w:t xml:space="preserve">The reported FT-Transformer configuration uses focal loss (gamma 2.0, alpha 0.75), learning rate 0.001, training batch size 384, evaluation batch size 512, and a negative-to-positive sampling ratio of four. At every checkpoint, evaluation covers all classes seen so far. Accuracy measures all correct predictions; Macro-F1 averages class F1 equally; balanced accuracy averages class recall; forgetting is the mean reduction from each earlier task's best historical accuracy to its later value. FT-Transformer values in this revision are means plus or minus sample standard deviation across seeds 1-4. TabM-OFRA and cumulative classifier diagnostics use seeds 1, 2, 3, 4, and 42. Comparisons are paired only over common seeds and are treated as descriptive because the protocols and available seed sets are not identical.</w:t>
      </w:r>
    </w:p>
    <w:p w14:paraId="00100122" w14:textId="00100123">
      <w:pPr>
        <w:pStyle w:val="Heading2"/>
      </w:pPr>
      <w:r>
        <w:rPr/>
        <w:t xml:space="preserve">3.4 Additive classifier-comparison protocol</w:t>
      </w:r>
    </w:p>
    <w:p w14:paraId="00100124" w14:textId="00100125">
      <w:pPr>
        <w:pStyle w:val="Normal"/>
      </w:pPr>
      <w:r>
        <w:rPr/>
        <w:t xml:space="preserve">TabM is added as a minimally invasive OFRA encoder comparison (Gorishniy et al., 2025). It produces 16 member embeddings of width 256 and averages them to the single representation required by the existing family-head interface. The family heads, exemplar budget, DP-Means routers, joint weight 0.5, cap 3,000, task order, and metric definitions remain unchanged. This is a mean-embedding adapter rather than a member-wise TabM-OFRA redesign.</w:t>
      </w:r>
    </w:p>
    <w:p w14:paraId="00100126" w14:textId="00100127">
      <w:pPr>
        <w:pStyle w:val="Normal"/>
      </w:pPr>
      <w:r>
        <w:rPr/>
        <w:t xml:space="preserve">CatBoost is evaluated separately as a cumulative multiclass diagnostic (Prokhorenkova et al., 2018). At each checkpoint it retrains on all training rows from classes seen so far. It does not use OFRA family heads, bounded replay, DP-Means routing, or ETG, and its native feature attribution is not the registered routed-margin SHAP target. The comparison therefore estimates classification headroom in the fixed feature representation rather than a matched continual-learning effect.</w:t>
      </w:r>
    </w:p>
    <w:p w14:paraId="00100072" w14:textId="00100116">
      <w:pPr>
        <w:pStyle w:val="Heading2"/>
        <w:keepNext/>
      </w:pPr>
      <w:r>
        <w:t xml:space="preserve">3.5 SHAP explanation protocol</w:t>
      </w:r>
    </w:p>
    <w:p w14:paraId="00100074" w14:textId="00100075">
      <w:pPr>
        <w:spacing w:before="0" w:after="100" w:line="259" w:lineRule="auto"/>
        <w:jc w:val="both"/>
      </w:pPr>
      <w:r>
        <w:rPr>
          <w:rFonts w:ascii="Arial" w:hAnsi="Arial"/>
          <w:b w:val="0"/>
          <w:i w:val="0"/>
          <w:sz w:val="20"/>
        </w:rPr>
        <w:t>The analyzer uses shap.GradientExplainer, an expected-gradients approximation for the differentiable FT-Transformer. It reconstructs the official joint-cap class margin g_c(x)=joint_cap_c(x)-max_{f not equal c}joint_cap_f(x) and attributes that margin to input features. Positive attributions support the explained margin; negative attributions oppose it. Top-15 features are ranked by absolute attribution magnitude. The fixed probe and background contracts are source-bound and reused across adjacent checkpoints.</w:t>
      </w:r>
    </w:p>
    <w:p w14:paraId="00100076" w14:textId="00100077">
      <w:pPr>
        <w:spacing w:before="0" w:after="100" w:line="259" w:lineRule="auto"/>
        <w:jc w:val="both"/>
      </w:pPr>
      <w:r>
        <w:rPr>
          <w:rFonts w:ascii="Arial" w:hAnsi="Arial"/>
          <w:b w:val="0"/>
          <w:i w:val="0"/>
          <w:sz w:val="20"/>
        </w:rPr>
        <w:t>For adjacent checkpoints, top-feature overlap is J(A,B)=|A intersection B|/|A union B|. A silent explanation-drift event requires performance to stay within the registered stability rule while top-15 Jaccard falls below 0.70. The 0.70 threshold and the performance tolerance are project governance settings, not externally validated standards. The event unit is a class-by-adjacent-checkpoint transition, not a packet, flow, sample, or real-world incident.</w:t>
      </w:r>
    </w:p>
    <w:p w14:paraId="00100078" w14:textId="00100117">
      <w:pPr>
        <w:pStyle w:val="Heading2"/>
        <w:keepNext/>
      </w:pPr>
      <w:r>
        <w:t xml:space="preserve">3.6 ETG governance scope</w:t>
      </w:r>
    </w:p>
    <w:p w14:paraId="0010007A" w14:textId="0010007B">
      <w:pPr>
        <w:spacing w:before="0" w:after="100" w:line="259" w:lineRule="auto"/>
        <w:jc w:val="both"/>
      </w:pPr>
      <w:r>
        <w:rPr>
          <w:rFonts w:ascii="Arial" w:hAnsi="Arial"/>
          <w:b w:val="0"/>
          <w:i w:val="0"/>
          <w:sz w:val="20"/>
        </w:rPr>
        <w:t>ETG is an offline explanation-governance ledger. It can certify an admission, refuse insufficient explanation evidence, escalate a drifted transition, and require strict recertification. A failed explanation action withholds the explanation alert or routes the evidence for review; it does not cancel OFRA's underlying classification alert. The completed analysis consumes stored OFRA checkpoint evidence for Malaya seed 1. ETG has therefore been connected to the actual routed-score evidence path, but it has not been evaluated as a closed loop that changes future routing, training, or replay.</w:t>
      </w:r>
    </w:p>
    <w:p w14:paraId="0010007C" w14:textId="00100118">
      <w:pPr>
        <w:pStyle w:val="Heading2"/>
        <w:keepNext/>
      </w:pPr>
      <w:r>
        <w:t xml:space="preserve">3.7 Attribution-method robustness protocol</w:t>
      </w:r>
    </w:p>
    <w:p w14:paraId="0010007E" w14:textId="001001A5">
      <w:pPr>
        <w:spacing w:before="0" w:after="100" w:line="259" w:lineRule="auto"/>
        <w:jc w:val="both"/>
      </w:pPr>
      <w:r>
        <w:rPr>
          <w:rFonts w:ascii="Arial" w:hAnsi="Arial"/>
          <w:b w:val="0"/>
          <w:i w:val="0"/>
          <w:sz w:val="20"/>
        </w:rPr>
        <w:t xml:space="preserve">The source-bound robustness pilot uses the same Malaya seed-1 checkpoints, fixed probes, joint-cap-3000 class margin, top-15 rule, random-control admission threshold, and ETG state machine. Its three primary rankings are Expected Gradients, single-feature ablation to the frozen checkpoint mean, and Gradient x Input. Pairwise top-15 Jaccard, admission agreement, ETG-state agreement, and transition-level silent-drift agreement are reported. Integrated Gradients were also attempted with a Task-0 mean baseline and 16-point Gauss-Legendre quadrature, but its completeness check failed on the piecewise routed score; it is retained as a numerical diagnostic and excluded from primary agreement claims. This design measures method dependence rather than assuming that any explainer is uniquely correct.</w:t>
      </w:r>
    </w:p>
    <w:p w14:paraId="001001A6" w14:textId="001001A7">
      <w:pPr>
        <w:pStyle w:val="Heading2"/>
      </w:pPr>
      <w:r>
        <w:rPr/>
        <w:t xml:space="preserve">3.8 No-look-ahead audit protocol</w:t>
      </w:r>
    </w:p>
    <w:p w14:paraId="001001A8" w14:textId="001001A9">
      <w:pPr>
        <w:spacing w:after="100"/>
        <w:jc w:val="both"/>
      </w:pPr>
      <w:r>
        <w:rPr/>
        <w:t xml:space="preserve">The audit traces every data-dependent preprocessing state to its fitting split and task availability. It checks numerical accumulator reads and freeze points, categorical-vocabulary construction, official-test access, and row-level impact of future-only categories. The audit distinguishes future-category schema exposure from future-label training and from test leakage, then reports exact affected columns and rows rather than a binary pass/fail label.</w:t>
      </w:r>
    </w:p>
    <w:p w14:paraId="00100080" w14:textId="00100081">
      <w:pPr>
        <w:pStyle w:val="Heading1"/>
        <w:keepNext/>
      </w:pPr>
      <w:r>
        <w:t>4. Results</w:t>
      </w:r>
    </w:p>
    <w:p w14:paraId="00100082" w14:textId="00100083">
      <w:pPr>
        <w:pStyle w:val="Heading2"/>
        <w:keepNext/>
      </w:pPr>
      <w:r>
        <w:t>4.1 RQ1: Explanation stability</w:t>
      </w:r>
    </w:p>
    <w:p w14:paraId="00100084" w14:textId="00100085">
      <w:pPr>
        <w:spacing w:before="0" w:after="100" w:line="259" w:lineRule="auto"/>
        <w:jc w:val="both"/>
      </w:pPr>
      <w:r>
        <w:rPr>
          <w:rFonts w:ascii="Arial" w:hAnsi="Arial"/>
          <w:b w:val="0"/>
          <w:i w:val="0"/>
          <w:sz w:val="20"/>
        </w:rPr>
        <w:t>In the completed Malaya seed-1 source-bound analysis, 17 class-by-adjacent-checkpoint transitions satisfy the eligibility rules and 12 meet the registered silent explanation-drift definition, giving 70.59%. This value must always be labelled as a single-seed Malaya result rather than a prevalence estimate, because the evidence unit is a registered class transition and not traffic volume or an operational incident.</w:t>
      </w:r>
    </w:p>
    <w:p w14:paraId="00100086" w14:textId="00100087">
      <w:pPr>
        <w:spacing w:before="0" w:after="100" w:line="259" w:lineRule="auto"/>
        <w:jc w:val="both"/>
      </w:pPr>
      <w:r>
        <w:rPr>
          <w:rFonts w:ascii="Arial" w:hAnsi="Arial"/>
          <w:b w:val="0"/>
          <w:i w:val="0"/>
          <w:sz w:val="20"/>
        </w:rPr>
        <w:t>The high event proportion shows that stable predictive evidence under the chosen tolerance does not guarantee stable top-feature membership. It does not establish that the model became unsafe, that the explanation was wrong, or that 70.59% of network flows drifted. It identifies transitions that require closer interpretation under this registered audit rule.</w:t>
      </w:r>
    </w:p>
    <w:p w14:paraId="001001AA" w14:textId="001001AB">
      <w:pPr>
        <w:pStyle w:val="Heading2"/>
      </w:pPr>
      <w:r>
        <w:rPr/>
        <w:t xml:space="preserve">4.2 RQ1: Attribution-method robustness</w:t>
      </w:r>
    </w:p>
    <w:p w14:paraId="001001AC" w14:textId="001001B7">
      <w:pPr>
        <w:spacing w:after="100"/>
        <w:jc w:val="both"/>
      </w:pPr>
      <w:r>
        <w:rPr/>
        <w:t xml:space="preserve">The three primary methods agree on admission for 40.0% of 30 checkpoint-class rows, on ETG state for 43.3%, and on the silent-drift conclusion for 20.0% of 20 adjacent class transitions. Pairwise mean top-15 Jaccard ranges from 0.380 to 0.567. Expected Gradients reports 12/17 silent-drift events, feature ablation 0/17, and Gradient x Input 7/17. The result bounds rather than removes attribution dependence: ETG outcomes are method-conditioned, and the registered Expected-Gradients result is not treated as uniquely correct.</w:t>
      </w:r>
    </w:p>
    <w:p w14:paraId="001001EA" w14:textId="001001EB">
      <w:pPr>
        <w:pStyle w:val="Caption"/>
      </w:pPr>
      <w:r>
        <w:rPr/>
        <w:t xml:space="preserve">Table 2. Attribution-method agreement on the source-bound Malaya seed-1 routed score.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14:paraId="001001B8" w14:textId="001001F0">
            <w:pPr>
              <w:jc w:val="center"/>
            </w:pPr>
            <w:r>
              <w:rPr>
                <w:b/>
                <w:color w:val="0F2A43"/>
                <w:sz w:val="15"/>
              </w:rPr>
              <w:t xml:space="preserve">Pair</w:t>
            </w:r>
          </w:p>
        </w:tc>
        <w:tc>
          <w:tcPr>
            <w:shd w:val="clear" w:fill="EAF0F5"/>
          </w:tcPr>
          <w:p w14:paraId="001001BA" w14:textId="001001F1">
            <w:pPr>
              <w:jc w:val="center"/>
            </w:pPr>
            <w:r>
              <w:rPr>
                <w:b/>
                <w:color w:val="0F2A43"/>
                <w:sz w:val="15"/>
              </w:rPr>
              <w:t xml:space="preserve">Top-15 Jaccard</w:t>
            </w:r>
          </w:p>
        </w:tc>
        <w:tc>
          <w:tcPr>
            <w:shd w:val="clear" w:fill="EAF0F5"/>
          </w:tcPr>
          <w:p w14:paraId="001001BC" w14:textId="001001F2">
            <w:pPr>
              <w:jc w:val="center"/>
            </w:pPr>
            <w:r>
              <w:rPr>
                <w:b/>
                <w:color w:val="0F2A43"/>
                <w:sz w:val="15"/>
              </w:rPr>
              <w:t xml:space="preserve">Admission</w:t>
            </w:r>
          </w:p>
        </w:tc>
        <w:tc>
          <w:tcPr>
            <w:shd w:val="clear" w:fill="EAF0F5"/>
          </w:tcPr>
          <w:p w14:paraId="001001BE" w14:textId="001001F3">
            <w:pPr>
              <w:jc w:val="center"/>
            </w:pPr>
            <w:r>
              <w:rPr>
                <w:b/>
                <w:color w:val="0F2A43"/>
                <w:sz w:val="15"/>
              </w:rPr>
              <w:t xml:space="preserve">ETG state</w:t>
            </w:r>
          </w:p>
        </w:tc>
        <w:tc>
          <w:tcPr>
            <w:shd w:val="clear" w:fill="EAF0F5"/>
          </w:tcPr>
          <w:p w14:paraId="001001C0" w14:textId="001001F4">
            <w:pPr>
              <w:jc w:val="center"/>
            </w:pPr>
            <w:r>
              <w:rPr>
                <w:b/>
                <w:color w:val="0F2A43"/>
                <w:sz w:val="15"/>
              </w:rPr>
              <w:t xml:space="preserve">Drift event</w:t>
            </w:r>
          </w:p>
        </w:tc>
      </w:tr>
      <w:tr>
        <w:trPr/>
        <w:tc>
          <w:p w14:paraId="001001C2" w14:textId="001001F5">
            <w:pPr/>
            <w:r>
              <w:rPr>
                <w:sz w:val="15"/>
              </w:rPr>
              <w:t xml:space="preserve">Expected vs ablation</w:t>
            </w:r>
          </w:p>
        </w:tc>
        <w:tc>
          <w:p w14:paraId="001001C4" w14:textId="001001F6">
            <w:pPr>
              <w:jc w:val="center"/>
            </w:pPr>
            <w:r>
              <w:rPr>
                <w:sz w:val="15"/>
              </w:rPr>
              <w:t xml:space="preserve">0.567</w:t>
            </w:r>
          </w:p>
        </w:tc>
        <w:tc>
          <w:p w14:paraId="001001C6" w14:textId="001001F7">
            <w:pPr>
              <w:jc w:val="center"/>
            </w:pPr>
            <w:r>
              <w:rPr>
                <w:sz w:val="15"/>
              </w:rPr>
              <w:t xml:space="preserve">56.7%</w:t>
            </w:r>
          </w:p>
        </w:tc>
        <w:tc>
          <w:p w14:paraId="001001C8" w14:textId="001001F8">
            <w:pPr>
              <w:jc w:val="center"/>
            </w:pPr>
            <w:r>
              <w:rPr>
                <w:sz w:val="15"/>
              </w:rPr>
              <w:t xml:space="preserve">60.0%</w:t>
            </w:r>
          </w:p>
        </w:tc>
        <w:tc>
          <w:p w14:paraId="001001CA" w14:textId="001001F9">
            <w:pPr>
              <w:jc w:val="center"/>
            </w:pPr>
            <w:r>
              <w:rPr>
                <w:sz w:val="15"/>
              </w:rPr>
              <w:t xml:space="preserve">40.0%</w:t>
            </w:r>
          </w:p>
        </w:tc>
      </w:tr>
      <w:tr>
        <w:trPr/>
        <w:tc>
          <w:p w14:paraId="001001CC" w14:textId="001001FA">
            <w:pPr/>
            <w:r>
              <w:rPr>
                <w:sz w:val="15"/>
              </w:rPr>
              <w:t xml:space="preserve">Expected vs Grad x Input</w:t>
            </w:r>
          </w:p>
        </w:tc>
        <w:tc>
          <w:p w14:paraId="001001CE" w14:textId="001001FB">
            <w:pPr>
              <w:jc w:val="center"/>
            </w:pPr>
            <w:r>
              <w:rPr>
                <w:sz w:val="15"/>
              </w:rPr>
              <w:t xml:space="preserve">0.380</w:t>
            </w:r>
          </w:p>
        </w:tc>
        <w:tc>
          <w:p w14:paraId="001001D0" w14:textId="001001FC">
            <w:pPr>
              <w:jc w:val="center"/>
            </w:pPr>
            <w:r>
              <w:rPr>
                <w:sz w:val="15"/>
              </w:rPr>
              <w:t xml:space="preserve">63.3%</w:t>
            </w:r>
          </w:p>
        </w:tc>
        <w:tc>
          <w:p w14:paraId="001001D2" w14:textId="001001FD">
            <w:pPr>
              <w:jc w:val="center"/>
            </w:pPr>
            <w:r>
              <w:rPr>
                <w:sz w:val="15"/>
              </w:rPr>
              <w:t xml:space="preserve">60.0%</w:t>
            </w:r>
          </w:p>
        </w:tc>
        <w:tc>
          <w:p w14:paraId="001001D4" w14:textId="001001FE">
            <w:pPr>
              <w:jc w:val="center"/>
            </w:pPr>
            <w:r>
              <w:rPr>
                <w:sz w:val="15"/>
              </w:rPr>
              <w:t xml:space="preserve">35.0%</w:t>
            </w:r>
          </w:p>
        </w:tc>
      </w:tr>
      <w:tr>
        <w:trPr/>
        <w:tc>
          <w:p w14:paraId="001001D6" w14:textId="001001FF">
            <w:pPr/>
            <w:r>
              <w:rPr>
                <w:sz w:val="15"/>
              </w:rPr>
              <w:t xml:space="preserve">Ablation vs Grad x Input</w:t>
            </w:r>
          </w:p>
        </w:tc>
        <w:tc>
          <w:p w14:paraId="001001D8" w14:textId="00100200">
            <w:pPr>
              <w:jc w:val="center"/>
            </w:pPr>
            <w:r>
              <w:rPr>
                <w:sz w:val="15"/>
              </w:rPr>
              <w:t xml:space="preserve">0.405</w:t>
            </w:r>
          </w:p>
        </w:tc>
        <w:tc>
          <w:p w14:paraId="001001DA" w14:textId="00100201">
            <w:pPr>
              <w:jc w:val="center"/>
            </w:pPr>
            <w:r>
              <w:rPr>
                <w:sz w:val="15"/>
              </w:rPr>
              <w:t xml:space="preserve">60.0%</w:t>
            </w:r>
          </w:p>
        </w:tc>
        <w:tc>
          <w:p w14:paraId="001001DC" w14:textId="00100202">
            <w:pPr>
              <w:jc w:val="center"/>
            </w:pPr>
            <w:r>
              <w:rPr>
                <w:sz w:val="15"/>
              </w:rPr>
              <w:t xml:space="preserve">56.7%</w:t>
            </w:r>
          </w:p>
        </w:tc>
        <w:tc>
          <w:p w14:paraId="001001DE" w14:textId="00100203">
            <w:pPr>
              <w:jc w:val="center"/>
            </w:pPr>
            <w:r>
              <w:rPr>
                <w:sz w:val="15"/>
              </w:rPr>
              <w:t xml:space="preserve">65.0%</w:t>
            </w:r>
          </w:p>
        </w:tc>
      </w:tr>
    </w:tbl>
    <w:p w14:paraId="001001EC" w14:textId="001001ED">
      <w:pPr>
        <w:spacing w:after="100"/>
        <w:jc w:val="both"/>
      </w:pPr>
      <w:r>
        <w:rPr/>
        <w:t xml:space="preserve">Integrated Gradients are excluded from Table 2 because their completeness check failed (mean row-level error 11.58; maximum 373.72). They are retained as a failed numerical diagnostic. The three valid rankings quantify sensitivity but do not determine which explainer is causally correct.</w:t>
      </w:r>
    </w:p>
    <w:p w14:paraId="00100088" w14:textId="001001AE">
      <w:pPr>
        <w:pStyle w:val="Heading2"/>
        <w:keepNext/>
      </w:pPr>
      <w:r>
        <w:t xml:space="preserve">4.3 RQ2: Predictive performance and retention</w:t>
      </w:r>
    </w:p>
    <w:p w14:paraId="0010008A" w14:textId="0010008B">
      <w:pPr>
        <w:jc w:val="center"/>
      </w:pPr>
      <w:r>
        <w:drawing>
          <wp:inline xmlns:a="http://schemas.openxmlformats.org/drawingml/2006/main" xmlns:pic="http://schemas.openxmlformats.org/drawingml/2006/picture">
            <wp:extent cx="5897880" cy="3407664"/>
            <wp:docPr id="2" name="Picture 2"/>
            <wp:cNvGraphicFramePr>
              <a:graphicFrameLocks noChangeAspect="1"/>
            </wp:cNvGraphicFramePr>
            <a:graphic>
              <a:graphicData uri="http://schemas.openxmlformats.org/drawingml/2006/picture">
                <pic:pic>
                  <pic:nvPicPr>
                    <pic:cNvPr id="0" name="four_seed_results.jpg"/>
                    <pic:cNvPicPr/>
                  </pic:nvPicPr>
                  <pic:blipFill>
                    <a:blip r:embed="rId12"/>
                    <a:stretch>
                      <a:fillRect/>
                    </a:stretch>
                  </pic:blipFill>
                  <pic:spPr>
                    <a:xfrm>
                      <a:off x="0" y="0"/>
                      <a:ext cx="5897880" cy="3407664"/>
                    </a:xfrm>
                    <a:prstGeom prst="rect"/>
                  </pic:spPr>
                </pic:pic>
              </a:graphicData>
            </a:graphic>
          </wp:inline>
        </w:drawing>
      </w:r>
    </w:p>
    <w:p w14:paraId="0010008C" w14:textId="0010008D">
      <w:pPr>
        <w:spacing w:before="80" w:after="120"/>
        <w:jc w:val="center"/>
      </w:pPr>
      <w:r>
        <w:rPr>
          <w:rFonts w:ascii="Arial" w:hAnsi="Arial"/>
          <w:b w:val="0"/>
          <w:i/>
          <w:color w:val="5A646E"/>
          <w:sz w:val="17"/>
        </w:rPr>
        <w:t>Figure 2. Head-only versus joint-cap four-seed descriptive results. Error bars are sample standard deviations.</w:t>
      </w:r>
    </w:p>
    <w:p w14:paraId="0010008E" w14:textId="001001EE">
      <w:pPr>
        <w:spacing w:before="80" w:after="120"/>
        <w:jc w:val="center"/>
      </w:pPr>
      <w:r>
        <w:rPr>
          <w:rFonts w:ascii="Arial" w:hAnsi="Arial"/>
          <w:b w:val="0"/>
          <w:i/>
          <w:color w:val="5A646E"/>
          <w:sz w:val="17"/>
        </w:rPr>
        <w:t xml:space="preserve">Table 3. Four-seed descriptive evidence for the two main decision arms.</w:t>
      </w:r>
    </w:p>
    <w:tbl>
      <w:tblPr>
        <w:tblStyle w:val="TableGrid"/>
        <w:tblW w:w="9360" w:type="dxa"/>
        <w:jc w:val="center"/>
        <w:tblLayout w:type="fixed"/>
        <w:tblLook w:val="04a0"/>
      </w:tblPr>
      <w:tblGrid>
        <w:gridCol w:w="1300"/>
        <w:gridCol w:w="1350"/>
        <w:gridCol w:w="1650"/>
        <w:gridCol w:w="1650"/>
        <w:gridCol w:w="1700"/>
        <w:gridCol w:w="1710"/>
      </w:tblGrid>
      <w:tr>
        <w:tc>
          <w:tcPr>
            <w:tcW w:w="1300" w:type="dxa"/>
            <w:shd w:val="clear" w:fill="EAF0F5"/>
            <w:tcMar>
              <w:top w:w="80" w:type="dxa"/>
              <w:start w:w="120" w:type="dxa"/>
              <w:bottom w:w="80" w:type="dxa"/>
              <w:end w:w="120" w:type="dxa"/>
            </w:tcMar>
            <w:vAlign w:val="center"/>
          </w:tcPr>
          <w:p w14:paraId="00100090" w14:textId="00100091">
            <w:pPr>
              <w:spacing w:after="0"/>
              <w:jc w:val="center"/>
            </w:pPr>
            <w:r>
              <w:rPr>
                <w:rFonts w:ascii="Arial" w:hAnsi="Arial"/>
                <w:b/>
                <w:i w:val="0"/>
                <w:color w:val="0F2A43"/>
                <w:sz w:val="15"/>
              </w:rPr>
              <w:t>Dataset</w:t>
            </w:r>
          </w:p>
        </w:tc>
        <w:tc>
          <w:tcPr>
            <w:tcW w:w="1350" w:type="dxa"/>
            <w:shd w:val="clear" w:fill="EAF0F5"/>
            <w:tcMar>
              <w:top w:w="80" w:type="dxa"/>
              <w:start w:w="120" w:type="dxa"/>
              <w:bottom w:w="80" w:type="dxa"/>
              <w:end w:w="120" w:type="dxa"/>
            </w:tcMar>
            <w:vAlign w:val="center"/>
          </w:tcPr>
          <w:p w14:paraId="00100092" w14:textId="00100093">
            <w:pPr>
              <w:spacing w:after="0"/>
              <w:jc w:val="center"/>
            </w:pPr>
            <w:r>
              <w:rPr>
                <w:rFonts w:ascii="Arial" w:hAnsi="Arial"/>
                <w:b/>
                <w:i w:val="0"/>
                <w:color w:val="0F2A43"/>
                <w:sz w:val="15"/>
              </w:rPr>
              <w:t>Arm</w:t>
            </w:r>
          </w:p>
        </w:tc>
        <w:tc>
          <w:tcPr>
            <w:tcW w:w="1650" w:type="dxa"/>
            <w:shd w:val="clear" w:fill="EAF0F5"/>
            <w:tcMar>
              <w:top w:w="80" w:type="dxa"/>
              <w:start w:w="120" w:type="dxa"/>
              <w:bottom w:w="80" w:type="dxa"/>
              <w:end w:w="120" w:type="dxa"/>
            </w:tcMar>
            <w:vAlign w:val="center"/>
          </w:tcPr>
          <w:p w14:paraId="00100094" w14:textId="00100095">
            <w:pPr>
              <w:spacing w:after="0"/>
              <w:jc w:val="center"/>
            </w:pPr>
            <w:r>
              <w:rPr>
                <w:rFonts w:ascii="Arial" w:hAnsi="Arial"/>
                <w:b/>
                <w:i w:val="0"/>
                <w:color w:val="0F2A43"/>
                <w:sz w:val="15"/>
              </w:rPr>
              <w:t>Accuracy</w:t>
            </w:r>
          </w:p>
        </w:tc>
        <w:tc>
          <w:tcPr>
            <w:tcW w:w="1650" w:type="dxa"/>
            <w:shd w:val="clear" w:fill="EAF0F5"/>
            <w:tcMar>
              <w:top w:w="80" w:type="dxa"/>
              <w:start w:w="120" w:type="dxa"/>
              <w:bottom w:w="80" w:type="dxa"/>
              <w:end w:w="120" w:type="dxa"/>
            </w:tcMar>
            <w:vAlign w:val="center"/>
          </w:tcPr>
          <w:p w14:paraId="00100096" w14:textId="00100097">
            <w:pPr>
              <w:spacing w:after="0"/>
              <w:jc w:val="center"/>
            </w:pPr>
            <w:r>
              <w:rPr>
                <w:rFonts w:ascii="Arial" w:hAnsi="Arial"/>
                <w:b/>
                <w:i w:val="0"/>
                <w:color w:val="0F2A43"/>
                <w:sz w:val="15"/>
              </w:rPr>
              <w:t>Macro-F1</w:t>
            </w:r>
          </w:p>
        </w:tc>
        <w:tc>
          <w:tcPr>
            <w:tcW w:w="1700" w:type="dxa"/>
            <w:shd w:val="clear" w:fill="EAF0F5"/>
            <w:tcMar>
              <w:top w:w="80" w:type="dxa"/>
              <w:start w:w="120" w:type="dxa"/>
              <w:bottom w:w="80" w:type="dxa"/>
              <w:end w:w="120" w:type="dxa"/>
            </w:tcMar>
            <w:vAlign w:val="center"/>
          </w:tcPr>
          <w:p w14:paraId="00100098" w14:textId="00100099">
            <w:pPr>
              <w:spacing w:after="0"/>
              <w:jc w:val="center"/>
            </w:pPr>
            <w:r>
              <w:rPr>
                <w:rFonts w:ascii="Arial" w:hAnsi="Arial"/>
                <w:b/>
                <w:i w:val="0"/>
                <w:color w:val="0F2A43"/>
                <w:sz w:val="15"/>
              </w:rPr>
              <w:t>Balanced acc.</w:t>
            </w:r>
          </w:p>
        </w:tc>
        <w:tc>
          <w:tcPr>
            <w:tcW w:w="1710" w:type="dxa"/>
            <w:shd w:val="clear" w:fill="EAF0F5"/>
            <w:tcMar>
              <w:top w:w="80" w:type="dxa"/>
              <w:start w:w="120" w:type="dxa"/>
              <w:bottom w:w="80" w:type="dxa"/>
              <w:end w:w="120" w:type="dxa"/>
            </w:tcMar>
            <w:vAlign w:val="center"/>
          </w:tcPr>
          <w:p w14:paraId="0010009A" w14:textId="0010009B">
            <w:pPr>
              <w:spacing w:after="0"/>
              <w:jc w:val="center"/>
            </w:pPr>
            <w:r>
              <w:rPr>
                <w:rFonts w:ascii="Arial" w:hAnsi="Arial"/>
                <w:b/>
                <w:i w:val="0"/>
                <w:color w:val="0F2A43"/>
                <w:sz w:val="15"/>
              </w:rPr>
              <w:t>Forgetting</w:t>
            </w:r>
          </w:p>
        </w:tc>
      </w:tr>
      <w:tr>
        <w:tc>
          <w:tcPr>
            <w:tcW w:w="1300" w:type="dxa"/>
            <w:tcMar>
              <w:top w:w="80" w:type="dxa"/>
              <w:start w:w="120" w:type="dxa"/>
              <w:bottom w:w="80" w:type="dxa"/>
              <w:end w:w="120" w:type="dxa"/>
            </w:tcMar>
            <w:vAlign w:val="center"/>
          </w:tcPr>
          <w:p w14:paraId="0010009C" w14:textId="0010009D">
            <w:pPr>
              <w:spacing w:after="0"/>
              <w:jc w:val="left"/>
            </w:pPr>
            <w:r>
              <w:rPr>
                <w:rFonts w:ascii="Arial" w:hAnsi="Arial"/>
                <w:b w:val="0"/>
                <w:i w:val="0"/>
                <w:sz w:val="15"/>
              </w:rPr>
              <w:t>Malaya</w:t>
            </w:r>
          </w:p>
        </w:tc>
        <w:tc>
          <w:tcPr>
            <w:tcW w:w="1350" w:type="dxa"/>
            <w:tcMar>
              <w:top w:w="80" w:type="dxa"/>
              <w:start w:w="120" w:type="dxa"/>
              <w:bottom w:w="80" w:type="dxa"/>
              <w:end w:w="120" w:type="dxa"/>
            </w:tcMar>
            <w:vAlign w:val="center"/>
          </w:tcPr>
          <w:p w14:paraId="0010009E" w14:textId="0010009F">
            <w:pPr>
              <w:spacing w:after="0"/>
              <w:jc w:val="center"/>
            </w:pPr>
            <w:r>
              <w:rPr>
                <w:rFonts w:ascii="Arial" w:hAnsi="Arial"/>
                <w:b w:val="0"/>
                <w:i w:val="0"/>
                <w:sz w:val="15"/>
              </w:rPr>
              <w:t>Head-only</w:t>
            </w:r>
          </w:p>
        </w:tc>
        <w:tc>
          <w:tcPr>
            <w:tcW w:w="1650" w:type="dxa"/>
            <w:tcMar>
              <w:top w:w="80" w:type="dxa"/>
              <w:start w:w="120" w:type="dxa"/>
              <w:bottom w:w="80" w:type="dxa"/>
              <w:end w:w="120" w:type="dxa"/>
            </w:tcMar>
            <w:vAlign w:val="center"/>
          </w:tcPr>
          <w:p w14:paraId="001000A0" w14:textId="001000A1">
            <w:pPr>
              <w:spacing w:after="0"/>
              <w:jc w:val="center"/>
            </w:pPr>
            <w:r>
              <w:rPr>
                <w:rFonts w:ascii="Arial" w:hAnsi="Arial"/>
                <w:b w:val="0"/>
                <w:i w:val="0"/>
                <w:sz w:val="15"/>
              </w:rPr>
              <w:t>55.87 +/- 0.33</w:t>
            </w:r>
          </w:p>
        </w:tc>
        <w:tc>
          <w:tcPr>
            <w:tcW w:w="1650" w:type="dxa"/>
            <w:tcMar>
              <w:top w:w="80" w:type="dxa"/>
              <w:start w:w="120" w:type="dxa"/>
              <w:bottom w:w="80" w:type="dxa"/>
              <w:end w:w="120" w:type="dxa"/>
            </w:tcMar>
            <w:vAlign w:val="center"/>
          </w:tcPr>
          <w:p w14:paraId="001000A2" w14:textId="001000A3">
            <w:pPr>
              <w:spacing w:after="0"/>
              <w:jc w:val="center"/>
            </w:pPr>
            <w:r>
              <w:rPr>
                <w:rFonts w:ascii="Arial" w:hAnsi="Arial"/>
                <w:b w:val="0"/>
                <w:i w:val="0"/>
                <w:sz w:val="15"/>
              </w:rPr>
              <w:t>11.81 +/- 0.93</w:t>
            </w:r>
          </w:p>
        </w:tc>
        <w:tc>
          <w:tcPr>
            <w:tcW w:w="1700" w:type="dxa"/>
            <w:tcMar>
              <w:top w:w="80" w:type="dxa"/>
              <w:start w:w="120" w:type="dxa"/>
              <w:bottom w:w="80" w:type="dxa"/>
              <w:end w:w="120" w:type="dxa"/>
            </w:tcMar>
            <w:vAlign w:val="center"/>
          </w:tcPr>
          <w:p w14:paraId="001000A4" w14:textId="001000A5">
            <w:pPr>
              <w:spacing w:after="0"/>
              <w:jc w:val="center"/>
            </w:pPr>
            <w:r>
              <w:rPr>
                <w:rFonts w:ascii="Arial" w:hAnsi="Arial"/>
                <w:b w:val="0"/>
                <w:i w:val="0"/>
                <w:sz w:val="15"/>
              </w:rPr>
              <w:t>15.16 +/- 0.58</w:t>
            </w:r>
          </w:p>
        </w:tc>
        <w:tc>
          <w:tcPr>
            <w:tcW w:w="1710" w:type="dxa"/>
            <w:tcMar>
              <w:top w:w="80" w:type="dxa"/>
              <w:start w:w="120" w:type="dxa"/>
              <w:bottom w:w="80" w:type="dxa"/>
              <w:end w:w="120" w:type="dxa"/>
            </w:tcMar>
            <w:vAlign w:val="center"/>
          </w:tcPr>
          <w:p w14:paraId="001000A6" w14:textId="001000A7">
            <w:pPr>
              <w:spacing w:after="0"/>
              <w:jc w:val="center"/>
            </w:pPr>
            <w:r>
              <w:rPr>
                <w:rFonts w:ascii="Arial" w:hAnsi="Arial"/>
                <w:b w:val="0"/>
                <w:i w:val="0"/>
                <w:sz w:val="15"/>
              </w:rPr>
              <w:t>1.25 +/- 1.19 pp</w:t>
            </w:r>
          </w:p>
        </w:tc>
      </w:tr>
      <w:tr>
        <w:tc>
          <w:tcPr>
            <w:tcW w:w="1300" w:type="dxa"/>
            <w:tcMar>
              <w:top w:w="80" w:type="dxa"/>
              <w:start w:w="120" w:type="dxa"/>
              <w:bottom w:w="80" w:type="dxa"/>
              <w:end w:w="120" w:type="dxa"/>
            </w:tcMar>
            <w:vAlign w:val="center"/>
          </w:tcPr>
          <w:p w14:paraId="001000A8" w14:textId="001000A9">
            <w:pPr>
              <w:spacing w:after="0"/>
              <w:jc w:val="left"/>
            </w:pPr>
            <w:r>
              <w:rPr>
                <w:rFonts w:ascii="Arial" w:hAnsi="Arial"/>
                <w:b w:val="0"/>
                <w:i w:val="0"/>
                <w:sz w:val="15"/>
              </w:rPr>
              <w:t>Malaya</w:t>
            </w:r>
          </w:p>
        </w:tc>
        <w:tc>
          <w:tcPr>
            <w:tcW w:w="1350" w:type="dxa"/>
            <w:tcMar>
              <w:top w:w="80" w:type="dxa"/>
              <w:start w:w="120" w:type="dxa"/>
              <w:bottom w:w="80" w:type="dxa"/>
              <w:end w:w="120" w:type="dxa"/>
            </w:tcMar>
            <w:vAlign w:val="center"/>
          </w:tcPr>
          <w:p w14:paraId="001000AA" w14:textId="001000AB">
            <w:pPr>
              <w:spacing w:after="0"/>
              <w:jc w:val="center"/>
            </w:pPr>
            <w:r>
              <w:rPr>
                <w:rFonts w:ascii="Arial" w:hAnsi="Arial"/>
                <w:b w:val="0"/>
                <w:i w:val="0"/>
                <w:sz w:val="15"/>
              </w:rPr>
              <w:t>Joint cap</w:t>
            </w:r>
          </w:p>
        </w:tc>
        <w:tc>
          <w:tcPr>
            <w:tcW w:w="1650" w:type="dxa"/>
            <w:tcMar>
              <w:top w:w="80" w:type="dxa"/>
              <w:start w:w="120" w:type="dxa"/>
              <w:bottom w:w="80" w:type="dxa"/>
              <w:end w:w="120" w:type="dxa"/>
            </w:tcMar>
            <w:vAlign w:val="center"/>
          </w:tcPr>
          <w:p w14:paraId="001000AC" w14:textId="001000AD">
            <w:pPr>
              <w:spacing w:after="0"/>
              <w:jc w:val="center"/>
            </w:pPr>
            <w:r>
              <w:rPr>
                <w:rFonts w:ascii="Arial" w:hAnsi="Arial"/>
                <w:b w:val="0"/>
                <w:i w:val="0"/>
                <w:sz w:val="15"/>
              </w:rPr>
              <w:t>54.37 +/- 3.02</w:t>
            </w:r>
          </w:p>
        </w:tc>
        <w:tc>
          <w:tcPr>
            <w:tcW w:w="1650" w:type="dxa"/>
            <w:tcMar>
              <w:top w:w="80" w:type="dxa"/>
              <w:start w:w="120" w:type="dxa"/>
              <w:bottom w:w="80" w:type="dxa"/>
              <w:end w:w="120" w:type="dxa"/>
            </w:tcMar>
            <w:vAlign w:val="center"/>
          </w:tcPr>
          <w:p w14:paraId="001000AE" w14:textId="001000AF">
            <w:pPr>
              <w:spacing w:after="0"/>
              <w:jc w:val="center"/>
            </w:pPr>
            <w:r>
              <w:rPr>
                <w:rFonts w:ascii="Arial" w:hAnsi="Arial"/>
                <w:b w:val="0"/>
                <w:i w:val="0"/>
                <w:sz w:val="15"/>
              </w:rPr>
              <w:t>20.70 +/- 3.72</w:t>
            </w:r>
          </w:p>
        </w:tc>
        <w:tc>
          <w:tcPr>
            <w:tcW w:w="1700" w:type="dxa"/>
            <w:tcMar>
              <w:top w:w="80" w:type="dxa"/>
              <w:start w:w="120" w:type="dxa"/>
              <w:bottom w:w="80" w:type="dxa"/>
              <w:end w:w="120" w:type="dxa"/>
            </w:tcMar>
            <w:vAlign w:val="center"/>
          </w:tcPr>
          <w:p w14:paraId="001000B0" w14:textId="001000B1">
            <w:pPr>
              <w:spacing w:after="0"/>
              <w:jc w:val="center"/>
            </w:pPr>
            <w:r>
              <w:rPr>
                <w:rFonts w:ascii="Arial" w:hAnsi="Arial"/>
                <w:b w:val="0"/>
                <w:i w:val="0"/>
                <w:sz w:val="15"/>
              </w:rPr>
              <w:t>22.70 +/- 3.86</w:t>
            </w:r>
          </w:p>
        </w:tc>
        <w:tc>
          <w:tcPr>
            <w:tcW w:w="1710" w:type="dxa"/>
            <w:tcMar>
              <w:top w:w="80" w:type="dxa"/>
              <w:start w:w="120" w:type="dxa"/>
              <w:bottom w:w="80" w:type="dxa"/>
              <w:end w:w="120" w:type="dxa"/>
            </w:tcMar>
            <w:vAlign w:val="center"/>
          </w:tcPr>
          <w:p w14:paraId="001000B2" w14:textId="001000B3">
            <w:pPr>
              <w:spacing w:after="0"/>
              <w:jc w:val="center"/>
            </w:pPr>
            <w:r>
              <w:rPr>
                <w:rFonts w:ascii="Arial" w:hAnsi="Arial"/>
                <w:b w:val="0"/>
                <w:i w:val="0"/>
                <w:sz w:val="15"/>
              </w:rPr>
              <w:t>3.79 +/- 0.64 pp</w:t>
            </w:r>
          </w:p>
        </w:tc>
      </w:tr>
      <w:tr>
        <w:tc>
          <w:tcPr>
            <w:tcW w:w="1300" w:type="dxa"/>
            <w:tcMar>
              <w:top w:w="80" w:type="dxa"/>
              <w:start w:w="120" w:type="dxa"/>
              <w:bottom w:w="80" w:type="dxa"/>
              <w:end w:w="120" w:type="dxa"/>
            </w:tcMar>
            <w:vAlign w:val="center"/>
          </w:tcPr>
          <w:p w14:paraId="001000B4" w14:textId="001000B5">
            <w:pPr>
              <w:spacing w:after="0"/>
              <w:jc w:val="left"/>
            </w:pPr>
            <w:r>
              <w:rPr>
                <w:rFonts w:ascii="Arial" w:hAnsi="Arial"/>
                <w:b w:val="0"/>
                <w:i w:val="0"/>
                <w:sz w:val="15"/>
              </w:rPr>
              <w:t>NSL-KDD</w:t>
            </w:r>
          </w:p>
        </w:tc>
        <w:tc>
          <w:tcPr>
            <w:tcW w:w="1350" w:type="dxa"/>
            <w:tcMar>
              <w:top w:w="80" w:type="dxa"/>
              <w:start w:w="120" w:type="dxa"/>
              <w:bottom w:w="80" w:type="dxa"/>
              <w:end w:w="120" w:type="dxa"/>
            </w:tcMar>
            <w:vAlign w:val="center"/>
          </w:tcPr>
          <w:p w14:paraId="001000B6" w14:textId="001000B7">
            <w:pPr>
              <w:spacing w:after="0"/>
              <w:jc w:val="center"/>
            </w:pPr>
            <w:r>
              <w:rPr>
                <w:rFonts w:ascii="Arial" w:hAnsi="Arial"/>
                <w:b w:val="0"/>
                <w:i w:val="0"/>
                <w:sz w:val="15"/>
              </w:rPr>
              <w:t>Head-only</w:t>
            </w:r>
          </w:p>
        </w:tc>
        <w:tc>
          <w:tcPr>
            <w:tcW w:w="1650" w:type="dxa"/>
            <w:tcMar>
              <w:top w:w="80" w:type="dxa"/>
              <w:start w:w="120" w:type="dxa"/>
              <w:bottom w:w="80" w:type="dxa"/>
              <w:end w:w="120" w:type="dxa"/>
            </w:tcMar>
            <w:vAlign w:val="center"/>
          </w:tcPr>
          <w:p w14:paraId="001000B8" w14:textId="001000B9">
            <w:pPr>
              <w:spacing w:after="0"/>
              <w:jc w:val="center"/>
            </w:pPr>
            <w:r>
              <w:rPr>
                <w:rFonts w:ascii="Arial" w:hAnsi="Arial"/>
                <w:b w:val="0"/>
                <w:i w:val="0"/>
                <w:sz w:val="15"/>
              </w:rPr>
              <w:t>61.94 +/- 19.92</w:t>
            </w:r>
          </w:p>
        </w:tc>
        <w:tc>
          <w:tcPr>
            <w:tcW w:w="1650" w:type="dxa"/>
            <w:tcMar>
              <w:top w:w="80" w:type="dxa"/>
              <w:start w:w="120" w:type="dxa"/>
              <w:bottom w:w="80" w:type="dxa"/>
              <w:end w:w="120" w:type="dxa"/>
            </w:tcMar>
            <w:vAlign w:val="center"/>
          </w:tcPr>
          <w:p w14:paraId="001000BA" w14:textId="001000BB">
            <w:pPr>
              <w:spacing w:after="0"/>
              <w:jc w:val="center"/>
            </w:pPr>
            <w:r>
              <w:rPr>
                <w:rFonts w:ascii="Arial" w:hAnsi="Arial"/>
                <w:b w:val="0"/>
                <w:i w:val="0"/>
                <w:sz w:val="15"/>
              </w:rPr>
              <w:t>34.76 +/- 10.29</w:t>
            </w:r>
          </w:p>
        </w:tc>
        <w:tc>
          <w:tcPr>
            <w:tcW w:w="1700" w:type="dxa"/>
            <w:tcMar>
              <w:top w:w="80" w:type="dxa"/>
              <w:start w:w="120" w:type="dxa"/>
              <w:bottom w:w="80" w:type="dxa"/>
              <w:end w:w="120" w:type="dxa"/>
            </w:tcMar>
            <w:vAlign w:val="center"/>
          </w:tcPr>
          <w:p w14:paraId="001000BC" w14:textId="001000BD">
            <w:pPr>
              <w:spacing w:after="0"/>
              <w:jc w:val="center"/>
            </w:pPr>
            <w:r>
              <w:rPr>
                <w:rFonts w:ascii="Arial" w:hAnsi="Arial"/>
                <w:b w:val="0"/>
                <w:i w:val="0"/>
                <w:sz w:val="15"/>
              </w:rPr>
              <w:t>38.12 +/- 6.94</w:t>
            </w:r>
          </w:p>
        </w:tc>
        <w:tc>
          <w:tcPr>
            <w:tcW w:w="1710" w:type="dxa"/>
            <w:tcMar>
              <w:top w:w="80" w:type="dxa"/>
              <w:start w:w="120" w:type="dxa"/>
              <w:bottom w:w="80" w:type="dxa"/>
              <w:end w:w="120" w:type="dxa"/>
            </w:tcMar>
            <w:vAlign w:val="center"/>
          </w:tcPr>
          <w:p w14:paraId="001000BE" w14:textId="001000BF">
            <w:pPr>
              <w:spacing w:after="0"/>
              <w:jc w:val="center"/>
            </w:pPr>
            <w:r>
              <w:rPr>
                <w:rFonts w:ascii="Arial" w:hAnsi="Arial"/>
                <w:b w:val="0"/>
                <w:i w:val="0"/>
                <w:sz w:val="15"/>
              </w:rPr>
              <w:t>5.44 +/- 9.48 pp</w:t>
            </w:r>
          </w:p>
        </w:tc>
      </w:tr>
      <w:tr>
        <w:tc>
          <w:tcPr>
            <w:tcW w:w="1300" w:type="dxa"/>
            <w:tcMar>
              <w:top w:w="80" w:type="dxa"/>
              <w:start w:w="120" w:type="dxa"/>
              <w:bottom w:w="80" w:type="dxa"/>
              <w:end w:w="120" w:type="dxa"/>
            </w:tcMar>
            <w:vAlign w:val="center"/>
          </w:tcPr>
          <w:p w14:paraId="001000C0" w14:textId="001000C1">
            <w:pPr>
              <w:spacing w:after="0"/>
              <w:jc w:val="left"/>
            </w:pPr>
            <w:r>
              <w:rPr>
                <w:rFonts w:ascii="Arial" w:hAnsi="Arial"/>
                <w:b w:val="0"/>
                <w:i w:val="0"/>
                <w:sz w:val="15"/>
              </w:rPr>
              <w:t>NSL-KDD</w:t>
            </w:r>
          </w:p>
        </w:tc>
        <w:tc>
          <w:tcPr>
            <w:tcW w:w="1350" w:type="dxa"/>
            <w:tcMar>
              <w:top w:w="80" w:type="dxa"/>
              <w:start w:w="120" w:type="dxa"/>
              <w:bottom w:w="80" w:type="dxa"/>
              <w:end w:w="120" w:type="dxa"/>
            </w:tcMar>
            <w:vAlign w:val="center"/>
          </w:tcPr>
          <w:p w14:paraId="001000C2" w14:textId="001000C3">
            <w:pPr>
              <w:spacing w:after="0"/>
              <w:jc w:val="center"/>
            </w:pPr>
            <w:r>
              <w:rPr>
                <w:rFonts w:ascii="Arial" w:hAnsi="Arial"/>
                <w:b w:val="0"/>
                <w:i w:val="0"/>
                <w:sz w:val="15"/>
              </w:rPr>
              <w:t>Joint cap</w:t>
            </w:r>
          </w:p>
        </w:tc>
        <w:tc>
          <w:tcPr>
            <w:tcW w:w="1650" w:type="dxa"/>
            <w:tcMar>
              <w:top w:w="80" w:type="dxa"/>
              <w:start w:w="120" w:type="dxa"/>
              <w:bottom w:w="80" w:type="dxa"/>
              <w:end w:w="120" w:type="dxa"/>
            </w:tcMar>
            <w:vAlign w:val="center"/>
          </w:tcPr>
          <w:p w14:paraId="001000C4" w14:textId="001000C5">
            <w:pPr>
              <w:spacing w:after="0"/>
              <w:jc w:val="center"/>
            </w:pPr>
            <w:r>
              <w:rPr>
                <w:rFonts w:ascii="Arial" w:hAnsi="Arial"/>
                <w:b w:val="0"/>
                <w:i w:val="0"/>
                <w:sz w:val="15"/>
              </w:rPr>
              <w:t>69.07 +/- 3.38</w:t>
            </w:r>
          </w:p>
        </w:tc>
        <w:tc>
          <w:tcPr>
            <w:tcW w:w="1650" w:type="dxa"/>
            <w:tcMar>
              <w:top w:w="80" w:type="dxa"/>
              <w:start w:w="120" w:type="dxa"/>
              <w:bottom w:w="80" w:type="dxa"/>
              <w:end w:w="120" w:type="dxa"/>
            </w:tcMar>
            <w:vAlign w:val="center"/>
          </w:tcPr>
          <w:p w14:paraId="001000C6" w14:textId="001000C7">
            <w:pPr>
              <w:spacing w:after="0"/>
              <w:jc w:val="center"/>
            </w:pPr>
            <w:r>
              <w:rPr>
                <w:rFonts w:ascii="Arial" w:hAnsi="Arial"/>
                <w:b w:val="0"/>
                <w:i w:val="0"/>
                <w:sz w:val="15"/>
              </w:rPr>
              <w:t>38.81 +/- 3.04</w:t>
            </w:r>
          </w:p>
        </w:tc>
        <w:tc>
          <w:tcPr>
            <w:tcW w:w="1700" w:type="dxa"/>
            <w:tcMar>
              <w:top w:w="80" w:type="dxa"/>
              <w:start w:w="120" w:type="dxa"/>
              <w:bottom w:w="80" w:type="dxa"/>
              <w:end w:w="120" w:type="dxa"/>
            </w:tcMar>
            <w:vAlign w:val="center"/>
          </w:tcPr>
          <w:p w14:paraId="001000C8" w14:textId="001000C9">
            <w:pPr>
              <w:spacing w:after="0"/>
              <w:jc w:val="center"/>
            </w:pPr>
            <w:r>
              <w:rPr>
                <w:rFonts w:ascii="Arial" w:hAnsi="Arial"/>
                <w:b w:val="0"/>
                <w:i w:val="0"/>
                <w:sz w:val="15"/>
              </w:rPr>
              <w:t>40.87 +/- 2.96</w:t>
            </w:r>
          </w:p>
        </w:tc>
        <w:tc>
          <w:tcPr>
            <w:tcW w:w="1710" w:type="dxa"/>
            <w:tcMar>
              <w:top w:w="80" w:type="dxa"/>
              <w:start w:w="120" w:type="dxa"/>
              <w:bottom w:w="80" w:type="dxa"/>
              <w:end w:w="120" w:type="dxa"/>
            </w:tcMar>
            <w:vAlign w:val="center"/>
          </w:tcPr>
          <w:p w14:paraId="001000CA" w14:textId="001000CB">
            <w:pPr>
              <w:spacing w:after="0"/>
              <w:jc w:val="center"/>
            </w:pPr>
            <w:r>
              <w:rPr>
                <w:rFonts w:ascii="Arial" w:hAnsi="Arial"/>
                <w:b w:val="0"/>
                <w:i w:val="0"/>
                <w:sz w:val="15"/>
              </w:rPr>
              <w:t>2.38 +/- 1.34 pp</w:t>
            </w:r>
          </w:p>
        </w:tc>
      </w:tr>
    </w:tbl>
    <w:p w14:paraId="001000CC" w14:textId="001000CD">
      <w:pPr>
        <w:spacing w:before="0" w:after="100" w:line="259" w:lineRule="auto"/>
        <w:jc w:val="both"/>
      </w:pPr>
      <w:r>
        <w:rPr>
          <w:rFonts w:ascii="Arial" w:hAnsi="Arial"/>
          <w:b w:val="0"/>
          <w:i w:val="0"/>
          <w:sz w:val="20"/>
        </w:rPr>
        <w:t>On Malaya, joint-cap sacrifices 1.50 accuracy points relative to head-only but gains 8.89 Macro-F1 points and 7.54 balanced-accuracy points, indicating improved recognition across classes. Forgetting rises by 2.54 points, so the routed arm does not provide a retention benefit on this dataset. On NSL-KDD, joint-cap improves accuracy by 7.13 points, Macro-F1 by 4.05 points, balanced accuracy by 2.75 points, and reduces forgetting by 3.06 points. The very large head-only seed variability on NSL-KDD is itself a warning against selecting one favourable run.</w:t>
      </w:r>
    </w:p>
    <w:p w14:paraId="001001B1" w14:textId="001001B2">
      <w:pPr>
        <w:spacing w:after="100"/>
        <w:jc w:val="both"/>
      </w:pPr>
      <w:r>
        <w:rPr/>
        <w:t xml:space="preserve">A protocol-separated CIC-IDS-2018 FT256x4 campaign completed seeds 1, 2, 3, 4, and 42 with one Task-0 epoch and one epoch per later task. Head-only inference gives 69.27 +/- 20.34% accuracy, 21.81 +/- 8.82% Macro-F1, 25.67 +/- 6.35% balanced accuracy, and 7.62 +/- 7.54 points of forgetting. Joint cap-3000 gives 52.55 +/- 5.79%, 34.05 +/- 7.54%, 53.93 +/- 7.79%, and 19.03 +/- 8.62 points, respectively. Thus joint routing improves Macro-F1 by 12.24 points and balanced accuracy by 28.26 points while reducing overall accuracy by 16.72 points and increasing forgetting by 11.41 points. Joint cap-3000 and joint uncapped are close on mean metrics, so this campaign does not establish a cap benefit.</w:t>
      </w:r>
    </w:p>
    <w:p w14:paraId="00100129" w14:textId="001001AF">
      <w:pPr>
        <w:pStyle w:val="Heading2"/>
      </w:pPr>
      <w:r>
        <w:rPr/>
        <w:t xml:space="preserve">4.4 RQ2: Additive classifier comparison</w:t>
      </w:r>
    </w:p>
    <w:p w14:paraId="0010012B" w14:textId="001001EF">
      <w:pPr>
        <w:pStyle w:val="Caption"/>
      </w:pPr>
      <w:r>
        <w:rPr>
          <w:i/>
          <w:sz w:val="16"/>
        </w:rPr>
        <w:t xml:space="preserve">Table 4. Malaya classifier comparisons. Values are mean +/- sample SD; protocols and seed sets are shown explicitly.</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14:paraId="0010012D" w14:textId="00100164">
            <w:pPr>
              <w:jc w:val="center"/>
            </w:pPr>
            <w:r>
              <w:rPr>
                <w:b/>
                <w:color w:val="0F2A43"/>
                <w:sz w:val="15"/>
              </w:rPr>
              <w:t xml:space="preserve">Model and protocol</w:t>
            </w:r>
          </w:p>
        </w:tc>
        <w:tc>
          <w:tcPr>
            <w:shd w:val="clear" w:fill="EAF0F5"/>
          </w:tcPr>
          <w:p w14:paraId="0010012F" w14:textId="00100166">
            <w:pPr>
              <w:jc w:val="center"/>
            </w:pPr>
            <w:r>
              <w:rPr>
                <w:b/>
                <w:color w:val="0F2A43"/>
                <w:sz w:val="15"/>
              </w:rPr>
              <w:t xml:space="preserve">Accuracy</w:t>
            </w:r>
          </w:p>
        </w:tc>
        <w:tc>
          <w:tcPr>
            <w:shd w:val="clear" w:fill="EAF0F5"/>
          </w:tcPr>
          <w:p w14:paraId="00100131" w14:textId="00100168">
            <w:pPr>
              <w:jc w:val="center"/>
            </w:pPr>
            <w:r>
              <w:rPr>
                <w:b/>
                <w:color w:val="0F2A43"/>
                <w:sz w:val="15"/>
              </w:rPr>
              <w:t xml:space="preserve">Macro-F1</w:t>
            </w:r>
          </w:p>
        </w:tc>
        <w:tc>
          <w:tcPr>
            <w:shd w:val="clear" w:fill="EAF0F5"/>
          </w:tcPr>
          <w:p w14:paraId="00100133" w14:textId="0010016A">
            <w:pPr>
              <w:jc w:val="center"/>
            </w:pPr>
            <w:r>
              <w:rPr>
                <w:b/>
                <w:color w:val="0F2A43"/>
                <w:sz w:val="15"/>
              </w:rPr>
              <w:t xml:space="preserve">Balanced acc.</w:t>
            </w:r>
          </w:p>
        </w:tc>
        <w:tc>
          <w:tcPr>
            <w:shd w:val="clear" w:fill="EAF0F5"/>
          </w:tcPr>
          <w:p w14:paraId="00100135" w14:textId="0010016C">
            <w:pPr>
              <w:jc w:val="center"/>
            </w:pPr>
            <w:r>
              <w:rPr>
                <w:b/>
                <w:color w:val="0F2A43"/>
                <w:sz w:val="15"/>
              </w:rPr>
              <w:t xml:space="preserve">Forgetting</w:t>
            </w:r>
          </w:p>
        </w:tc>
      </w:tr>
      <w:tr>
        <w:trPr/>
        <w:tc>
          <w:p w14:paraId="00100137" w14:textId="0010016D">
            <w:r>
              <w:rPr>
                <w:sz w:val="15"/>
              </w:rPr>
              <w:t xml:space="preserve">TabM-OFRA joint cap, 5 seeds</w:t>
            </w:r>
          </w:p>
        </w:tc>
        <w:tc>
          <w:p w14:paraId="00100139" w14:textId="0010016F">
            <w:pPr>
              <w:jc w:val="center"/>
            </w:pPr>
            <w:r>
              <w:rPr>
                <w:sz w:val="15"/>
              </w:rPr>
              <w:t xml:space="preserve">57.99 +/- 3.93</w:t>
            </w:r>
          </w:p>
        </w:tc>
        <w:tc>
          <w:p w14:paraId="0010013B" w14:textId="00100171">
            <w:pPr>
              <w:jc w:val="center"/>
            </w:pPr>
            <w:r>
              <w:rPr>
                <w:sz w:val="15"/>
              </w:rPr>
              <w:t xml:space="preserve">20.46 +/- 1.19</w:t>
            </w:r>
          </w:p>
        </w:tc>
        <w:tc>
          <w:p w14:paraId="0010013D" w14:textId="00100173">
            <w:pPr>
              <w:jc w:val="center"/>
            </w:pPr>
            <w:r>
              <w:rPr>
                <w:sz w:val="15"/>
              </w:rPr>
              <w:t xml:space="preserve">21.60 +/- 1.70</w:t>
            </w:r>
          </w:p>
        </w:tc>
        <w:tc>
          <w:p w14:paraId="0010013F" w14:textId="00100175">
            <w:pPr>
              <w:jc w:val="center"/>
            </w:pPr>
            <w:r>
              <w:rPr>
                <w:sz w:val="15"/>
              </w:rPr>
              <w:t xml:space="preserve">4.39 +/- 2.56 pp</w:t>
            </w:r>
          </w:p>
        </w:tc>
      </w:tr>
      <w:tr>
        <w:trPr/>
        <w:tc>
          <w:p w14:paraId="00100141" w14:textId="00100176">
            <w:r>
              <w:rPr>
                <w:sz w:val="15"/>
              </w:rPr>
              <w:t xml:space="preserve">FT512-OFRA joint cap, 4 seeds</w:t>
            </w:r>
          </w:p>
        </w:tc>
        <w:tc>
          <w:p w14:paraId="00100143" w14:textId="00100178">
            <w:pPr>
              <w:jc w:val="center"/>
            </w:pPr>
            <w:r>
              <w:rPr>
                <w:sz w:val="15"/>
              </w:rPr>
              <w:t xml:space="preserve">54.37 +/- 3.02</w:t>
            </w:r>
          </w:p>
        </w:tc>
        <w:tc>
          <w:p w14:paraId="00100145" w14:textId="0010017A">
            <w:pPr>
              <w:jc w:val="center"/>
            </w:pPr>
            <w:r>
              <w:rPr>
                <w:sz w:val="15"/>
              </w:rPr>
              <w:t xml:space="preserve">20.70 +/- 3.72</w:t>
            </w:r>
          </w:p>
        </w:tc>
        <w:tc>
          <w:p w14:paraId="00100147" w14:textId="0010017C">
            <w:pPr>
              <w:jc w:val="center"/>
            </w:pPr>
            <w:r>
              <w:rPr>
                <w:sz w:val="15"/>
              </w:rPr>
              <w:t xml:space="preserve">22.70 +/- 3.86</w:t>
            </w:r>
          </w:p>
        </w:tc>
        <w:tc>
          <w:p w14:paraId="00100149" w14:textId="0010017E">
            <w:pPr>
              <w:jc w:val="center"/>
            </w:pPr>
            <w:r>
              <w:rPr>
                <w:sz w:val="15"/>
              </w:rPr>
              <w:t xml:space="preserve">3.79 +/- 0.64 pp</w:t>
            </w:r>
          </w:p>
        </w:tc>
      </w:tr>
      <w:tr>
        <w:trPr/>
        <w:tc>
          <w:p w14:paraId="0010014B" w14:textId="0010017F">
            <w:r>
              <w:rPr>
                <w:sz w:val="15"/>
              </w:rPr>
              <w:t xml:space="preserve">CatBoost cumulative, 5 seeds</w:t>
            </w:r>
          </w:p>
        </w:tc>
        <w:tc>
          <w:p w14:paraId="0010014D" w14:textId="00100181">
            <w:pPr>
              <w:jc w:val="center"/>
            </w:pPr>
            <w:r>
              <w:rPr>
                <w:sz w:val="15"/>
              </w:rPr>
              <w:t xml:space="preserve">66.50 +/- 0.44</w:t>
            </w:r>
          </w:p>
        </w:tc>
        <w:tc>
          <w:p w14:paraId="0010014F" w14:textId="00100183">
            <w:pPr>
              <w:jc w:val="center"/>
            </w:pPr>
            <w:r>
              <w:rPr>
                <w:sz w:val="15"/>
              </w:rPr>
              <w:t xml:space="preserve">34.76 +/- 0.69</w:t>
            </w:r>
          </w:p>
        </w:tc>
        <w:tc>
          <w:p w14:paraId="00100151" w14:textId="00100185">
            <w:pPr>
              <w:jc w:val="center"/>
            </w:pPr>
            <w:r>
              <w:rPr>
                <w:sz w:val="15"/>
              </w:rPr>
              <w:t xml:space="preserve">39.10 +/- 0.73</w:t>
            </w:r>
          </w:p>
        </w:tc>
        <w:tc>
          <w:p w14:paraId="00100153" w14:textId="00100187">
            <w:pPr>
              <w:jc w:val="center"/>
            </w:pPr>
            <w:r>
              <w:rPr>
                <w:sz w:val="15"/>
              </w:rPr>
              <w:t xml:space="preserve">15.34 +/- 0.73 pp</w:t>
            </w:r>
          </w:p>
        </w:tc>
      </w:tr>
      <w:tr>
        <w:trPr/>
        <w:tc>
          <w:p w14:paraId="00100155" w14:textId="00100188">
            <w:r>
              <w:rPr>
                <w:sz w:val="15"/>
              </w:rPr>
              <w:t xml:space="preserve">TabM cumulative, 5 seeds</w:t>
            </w:r>
          </w:p>
        </w:tc>
        <w:tc>
          <w:p w14:paraId="00100157" w14:textId="0010018A">
            <w:pPr>
              <w:jc w:val="center"/>
            </w:pPr>
            <w:r>
              <w:rPr>
                <w:sz w:val="15"/>
              </w:rPr>
              <w:t xml:space="preserve">65.01 +/- 0.96</w:t>
            </w:r>
          </w:p>
        </w:tc>
        <w:tc>
          <w:p w14:paraId="00100159" w14:textId="0010018C">
            <w:pPr>
              <w:jc w:val="center"/>
            </w:pPr>
            <w:r>
              <w:rPr>
                <w:sz w:val="15"/>
              </w:rPr>
              <w:t xml:space="preserve">32.66 +/- 1.31</w:t>
            </w:r>
          </w:p>
        </w:tc>
        <w:tc>
          <w:p w14:paraId="0010015B" w14:textId="0010018E">
            <w:pPr>
              <w:jc w:val="center"/>
            </w:pPr>
            <w:r>
              <w:rPr>
                <w:sz w:val="15"/>
              </w:rPr>
              <w:t xml:space="preserve">34.41 +/- 1.51</w:t>
            </w:r>
          </w:p>
        </w:tc>
        <w:tc>
          <w:p w14:paraId="0010015D" w14:textId="00100190">
            <w:pPr>
              <w:jc w:val="center"/>
            </w:pPr>
            <w:r>
              <w:rPr>
                <w:sz w:val="15"/>
              </w:rPr>
              <w:t xml:space="preserve">9.43 +/- 1.80 pp</w:t>
            </w:r>
          </w:p>
        </w:tc>
      </w:tr>
    </w:tbl>
    <w:p w14:paraId="0010015F" w14:textId="00100160">
      <w:pPr>
        <w:pStyle w:val="Normal"/>
      </w:pPr>
      <w:r>
        <w:rPr/>
        <w:t xml:space="preserve">Over the four seeds shared with FT-Transformer 512x12, TabM-OFRA joint-cap accuracy increases from 54.37% to 59.59% (+5.23 percentage points), while Macro-F1 changes by +0.15 points, balanced accuracy by -0.64 points, and forgetting by -0.01 points. The improvement is therefore concentrated in aggregate accuracy. BitTorrent constitutes 53.39% of the test set and its mean recall rises by 10.54 points, whereas recall falls for Steam, TeamViewer, Discord, and Webex. The TabM result does not support a general claim of improved minority-class recognition.</w:t>
      </w:r>
    </w:p>
    <w:p w14:paraId="001000CE" w14:textId="001001B0">
      <w:pPr>
        <w:pStyle w:val="Heading2"/>
        <w:keepNext/>
      </w:pPr>
      <w:r>
        <w:t xml:space="preserve">4.5 RQ3: ETG governance outcomes</w:t>
      </w:r>
    </w:p>
    <w:p w14:paraId="001000D0" w14:textId="001000D1">
      <w:pPr>
        <w:jc w:val="center"/>
      </w:pPr>
      <w:r>
        <w:drawing>
          <wp:inline xmlns:a="http://schemas.openxmlformats.org/drawingml/2006/main" xmlns:pic="http://schemas.openxmlformats.org/drawingml/2006/picture">
            <wp:extent cx="5669280" cy="2090547"/>
            <wp:docPr id="3" name="Picture 3"/>
            <wp:cNvGraphicFramePr>
              <a:graphicFrameLocks noChangeAspect="1"/>
            </wp:cNvGraphicFramePr>
            <a:graphic>
              <a:graphicData uri="http://schemas.openxmlformats.org/drawingml/2006/picture">
                <pic:pic>
                  <pic:nvPicPr>
                    <pic:cNvPr id="0" name="etg_summary.jpg"/>
                    <pic:cNvPicPr/>
                  </pic:nvPicPr>
                  <pic:blipFill>
                    <a:blip r:embed="rId13"/>
                    <a:stretch>
                      <a:fillRect/>
                    </a:stretch>
                  </pic:blipFill>
                  <pic:spPr>
                    <a:xfrm>
                      <a:off x="0" y="0"/>
                      <a:ext cx="5669280" cy="2090547"/>
                    </a:xfrm>
                    <a:prstGeom prst="rect"/>
                  </pic:spPr>
                </pic:pic>
              </a:graphicData>
            </a:graphic>
          </wp:inline>
        </w:drawing>
      </w:r>
    </w:p>
    <w:p w14:paraId="001000D2" w14:textId="001000D3">
      <w:pPr>
        <w:spacing w:before="80" w:after="120"/>
        <w:jc w:val="center"/>
      </w:pPr>
      <w:r>
        <w:rPr>
          <w:rFonts w:ascii="Arial" w:hAnsi="Arial"/>
          <w:b w:val="0"/>
          <w:i/>
          <w:color w:val="5A646E"/>
          <w:sz w:val="17"/>
        </w:rPr>
        <w:t>Figure 3. Malaya seed-1 ETG evidence. Counts are governance outcomes, not production incidents or completed human reviews.</w:t>
      </w:r>
    </w:p>
    <w:p w14:paraId="001000D4" w14:textId="001000D5">
      <w:pPr>
        <w:spacing w:before="0" w:after="100" w:line="259" w:lineRule="auto"/>
        <w:jc w:val="both"/>
      </w:pPr>
      <w:r>
        <w:rPr>
          <w:rFonts w:ascii="Arial" w:hAnsi="Arial"/>
          <w:b w:val="0"/>
          <w:i w:val="0"/>
          <w:sz w:val="20"/>
        </w:rPr>
        <w:t>ETG records six certified admissions and four refused admissions. Four transitions are escalated, one strict recertification succeeds, and two strict-recertification attempts fail. Final states include six UNEXPLAINABLE, three CERTIFIED_STABLE, and one DRIFTED class record. These outcomes demonstrate execution of the registered state machine on actual joint-cap explanation evidence. They do not quantify analyst benefit, false-alarm reduction, production remediation, or causal improvement of later OFRA checkpoints.</w:t>
      </w:r>
    </w:p>
    <w:p w14:paraId="001000D6" w14:textId="001000D7">
      <w:pPr>
        <w:pStyle w:val="Heading1"/>
        <w:keepNext/>
      </w:pPr>
      <w:r>
        <w:t>5. Discussion</w:t>
      </w:r>
    </w:p>
    <w:p w14:paraId="001000D8" w14:textId="001000D9">
      <w:pPr>
        <w:pStyle w:val="Heading2"/>
        <w:keepNext/>
      </w:pPr>
      <w:r>
        <w:t>5.1 When is the trade-off operationally worthwhile?</w:t>
      </w:r>
    </w:p>
    <w:p w14:paraId="001000DA" w14:textId="001000DB">
      <w:pPr>
        <w:spacing w:before="0" w:after="100" w:line="259" w:lineRule="auto"/>
        <w:jc w:val="both"/>
      </w:pPr>
      <w:r>
        <w:rPr>
          <w:rFonts w:ascii="Arial" w:hAnsi="Arial"/>
          <w:b w:val="0"/>
          <w:i w:val="0"/>
          <w:sz w:val="20"/>
        </w:rPr>
        <w:t>The value of routing depends on the threat model and dataset. On NSL-KDD, the matched result is favourable across accuracy, class-balanced metrics, and forgetting, although four seeds remain insufficient for a final superiority claim. On Malaya, routing improves minority-class coverage while worsening forgetting and slightly reducing overall accuracy. This trade may be acceptable when failure on an underrepresented class is more costly than a small aggregate accuracy reduction, such as when a security team prioritises coverage of rare but consequential attack families. It is not automatically worthwhile for application-traffic classification, and the decision should be based on per-class costs, not overall accuracy alone.</w:t>
      </w:r>
    </w:p>
    <w:p w14:paraId="00100193" w14:textId="00100194">
      <w:pPr>
        <w:pStyle w:val="Heading2"/>
      </w:pPr>
      <w:r>
        <w:rPr/>
        <w:t xml:space="preserve">5.2 Classifier capacity and class imbalance</w:t>
      </w:r>
    </w:p>
    <w:p w14:paraId="00100195" w14:textId="00100196">
      <w:pPr>
        <w:pStyle w:val="Normal"/>
      </w:pPr>
      <w:r>
        <w:rPr/>
        <w:t xml:space="preserve">The new comparisons separate two questions that were previously conflated. TabM-OFRA asks whether a different differentiable encoder can improve the existing OFRA pipeline without changing its router, heads, or memory rules. The cumulative models ask how much performance is available when all seen-class rows are retained and a fresh multiclass classifier is trained. TabM-OFRA improves aggregate accuracy but not class-balanced metrics, whereas cumulative CatBoost improves all final classification metrics while showing greater checkpoint forgetting. Together with the per-class recall audit, this indicates that model capacity alone is not the main bottleneck; class imbalance and the combination of binary heads, routing, and bounded replay remain material.</w:t>
      </w:r>
    </w:p>
    <w:p w14:paraId="001000DC" w14:textId="00100119">
      <w:pPr>
        <w:pStyle w:val="Heading2"/>
        <w:keepNext/>
      </w:pPr>
      <w:r>
        <w:t xml:space="preserve">5.3 Meaning of the integrated evidence chain</w:t>
      </w:r>
    </w:p>
    <w:p w14:paraId="001000DE" w14:textId="001000DF">
      <w:pPr>
        <w:spacing w:before="0" w:after="100" w:line="259" w:lineRule="auto"/>
        <w:jc w:val="both"/>
      </w:pPr>
      <w:r>
        <w:rPr>
          <w:rFonts w:ascii="Arial" w:hAnsi="Arial"/>
          <w:b w:val="0"/>
          <w:i w:val="0"/>
          <w:sz w:val="20"/>
        </w:rPr>
        <w:t>The current contribution is an integrated offline audit chain: OFRA generates the registered joint-cap decision; expected gradients explain its class margin; ETG applies declared evidence rules and records the outcome. Calling this a closed-loop OFRA-ETG system would be premature because ETG does not alter later model behaviour. The distinction matters for both scientific validity and system safety: post-hoc governance evidence can support review without being presented as a validated adaptive control mechanism.</w:t>
      </w:r>
    </w:p>
    <w:p w14:paraId="001000E0" w14:textId="0010011A">
      <w:pPr>
        <w:pStyle w:val="Heading2"/>
        <w:keepNext/>
      </w:pPr>
      <w:r>
        <w:t xml:space="preserve">5.4 Attribution dependence</w:t>
      </w:r>
    </w:p>
    <w:p w14:paraId="001000E2" w14:textId="001001B3">
      <w:pPr>
        <w:spacing w:before="0" w:after="100" w:line="259" w:lineRule="auto"/>
        <w:jc w:val="both"/>
      </w:pPr>
      <w:r>
        <w:rPr>
          <w:rFonts w:ascii="Arial" w:hAnsi="Arial"/>
          <w:b w:val="0"/>
          <w:i w:val="0"/>
          <w:sz w:val="20"/>
        </w:rPr>
        <w:t xml:space="preserve">The completed source-bound pilot confirms that ETG states inherit material attribution-method dependence. Agreement must therefore be reported at several levels rather than reduced to one feature-overlap number. Expected Gradients remains the registered operational explainer, but governance conclusions should be treated as method-conditioned; a future deployment should require method consensus, uncertainty-aware admission, or external calibration. The failed Integrated-Gradients completeness check further shows that a differentiable attribution method cannot be assumed valid for the complete piecewise routed score.</w:t>
      </w:r>
    </w:p>
    <w:p w14:paraId="001000E4" w14:textId="001000E5">
      <w:pPr>
        <w:pStyle w:val="Heading1"/>
        <w:keepNext/>
      </w:pPr>
      <w:r>
        <w:t>6. Limitations and Threats to Validity</w:t>
      </w:r>
    </w:p>
    <w:p w14:paraId="001000E6" w14:textId="001001B4">
      <w:pPr>
        <w:spacing w:before="0" w:after="100" w:line="259" w:lineRule="auto"/>
        <w:jc w:val="both"/>
      </w:pPr>
      <w:r>
        <w:rPr>
          <w:rFonts w:ascii="Arial" w:hAnsi="Arial"/>
          <w:b w:val="0"/>
          <w:i w:val="0"/>
          <w:sz w:val="20"/>
        </w:rPr>
        <w:t xml:space="preserve">First, the main FT-Transformer predictive aggregate contains four seeds, not the registered five, and only Malaya and NSL-KDD have completed main-protocol runs. The five-seed TabM-OFRA result is an additive Malaya comparison, and the five-seed CIC-IDS-2018 FT256x4 result uses a different model and shorter schedule; neither replaces the main FT512x12 evidence. Second, SHAP and ETG evidence remains Malaya seed 1 and has not been executed for TabM. Third, attribution dependence is now bounded by a three-method single-seed pilot but not by a multi-seed estimate; Integrated Gradients failed its completeness diagnostic. Fourth, silent-drift thresholds are study-defined operating rules and have not been externally calibrated. Fifth, ETG actions are simulated and no analyst study or deployed feedback loop has been conducted.</w:t>
      </w:r>
    </w:p>
    <w:p w14:paraId="001000E8" w14:textId="001001B5">
      <w:pPr>
        <w:spacing w:before="0" w:after="100" w:line="259" w:lineRule="auto"/>
        <w:jc w:val="both"/>
      </w:pPr>
      <w:r>
        <w:rPr>
          <w:rFonts w:ascii="Arial" w:hAnsi="Arial"/>
          <w:b w:val="0"/>
          <w:i w:val="0"/>
          <w:sz w:val="20"/>
        </w:rPr>
        <w:t xml:space="preserve">Sixth, numerical Task-0-only scaling passes the no-look-ahead audit, but NSL-KDD and UNSW-NB15 categorical schemas contain bounded future-category information affecting about 0.9% of later-task rows; strict vocabulary rebuilding and rerunning remain open. Seventh, Malaya is not an intrusion-detection dataset, and its application labels cannot support attack-recall or benign false-positive claims. Eighth, Malaya is strongly imbalanced: BitTorrent constitutes 53.39% of the test set, so TabM's accuracy increase is not evidence of uniform class improvement. Ninth, cumulative CatBoost and TabM retrain on all seen-class rows and are capacity diagnostics rather than matched continual-learning baselines. Tenth, complete runtime, explanation latency, energy, analyst burden, and protocol-matched inferential tests are not yet available across the full dataset suite.</w:t>
      </w:r>
    </w:p>
    <w:p w14:paraId="001000EA" w14:textId="001000EB">
      <w:pPr>
        <w:pStyle w:val="Heading1"/>
        <w:keepNext/>
      </w:pPr>
      <w:r>
        <w:t>7. Conclusion</w:t>
      </w:r>
    </w:p>
    <w:p w14:paraId="001000EC" w14:textId="001001B6">
      <w:pPr>
        <w:spacing w:before="0" w:after="100" w:line="259" w:lineRule="auto"/>
        <w:jc w:val="both"/>
      </w:pPr>
      <w:r>
        <w:rPr>
          <w:rFonts w:ascii="Arial" w:hAnsi="Arial"/>
          <w:b w:val="0"/>
          <w:i w:val="0"/>
          <w:sz w:val="20"/>
        </w:rPr>
        <w:t xml:space="preserve">This revision provides a bounded evaluation of OFRA prediction, additive classifier diagnostics, explanation stability, and post-hoc ETG governance. The main FT-Transformer evidence shows dataset-dependent routing trade-offs. The five-seed Malaya TabM adapter improves joint-cap aggregate accuracy on four common seeds but does not materially improve class-balanced metrics or forgetting. A source-bound Malaya seed-1 analysis finds 12 silent explanation-drift events among 17 eligible transitions and executes the ETG state machine on the same routed-score evidence. The completed three-method pilot confirms that these governance outcomes are attribution-method dependent, while the no-look-ahead audit confirms numerical isolation and exposes a small but real categorical-schema limitation. The separate CIC-IDS-2018 FT256x4 five-seed closure shows that joint routing can improve class-balanced metrics while sacrificing overall accuracy and retention. The work supports a reproducible integrated offline audit pipeline, not an online adaptive loop or universal superiority claim. Remaining submission work is multi-seed explanation/ETG analysis, the strict categorical-vocabulary rebuild and rerun, and completion of the main-protocol dataset suite.</w:t>
      </w:r>
    </w:p>
    <w:p w14:paraId="001000EE" w14:textId="001000EF">
      <w:pPr>
        <w:pStyle w:val="Heading1"/>
        <w:keepNext/>
      </w:pPr>
      <w:r>
        <w:t>Declarations</w:t>
      </w:r>
    </w:p>
    <w:p w14:paraId="001000F0" w14:textId="001000F1">
      <w:pPr>
        <w:spacing w:before="0" w:after="100" w:line="259" w:lineRule="auto"/>
        <w:jc w:val="both"/>
      </w:pPr>
      <w:r>
        <w:rPr>
          <w:rFonts w:ascii="Arial" w:hAnsi="Arial"/>
          <w:b/>
          <w:i w:val="0"/>
          <w:sz w:val="20"/>
        </w:rPr>
        <w:t>Funding:</w:t>
      </w:r>
      <w:r>
        <w:rPr>
          <w:rFonts w:ascii="Arial" w:hAnsi="Arial"/>
          <w:b w:val="0"/>
          <w:i w:val="0"/>
          <w:sz w:val="20"/>
        </w:rPr>
        <w:t xml:space="preserve"> No external funding was declared for this study.</w:t>
      </w:r>
    </w:p>
    <w:p w14:paraId="001000F2" w14:textId="001000F3">
      <w:pPr>
        <w:spacing w:before="0" w:after="100" w:line="259" w:lineRule="auto"/>
        <w:jc w:val="both"/>
      </w:pPr>
      <w:r>
        <w:rPr>
          <w:rFonts w:ascii="Arial" w:hAnsi="Arial"/>
          <w:b/>
          <w:i w:val="0"/>
          <w:sz w:val="20"/>
        </w:rPr>
        <w:t>Conflict of interest:</w:t>
      </w:r>
      <w:r>
        <w:rPr>
          <w:rFonts w:ascii="Arial" w:hAnsi="Arial"/>
          <w:b w:val="0"/>
          <w:i w:val="0"/>
          <w:sz w:val="20"/>
        </w:rPr>
        <w:t xml:space="preserve"> The author declares no conflict of interest.</w:t>
      </w:r>
    </w:p>
    <w:p w14:paraId="001000F4" w14:textId="001000F5">
      <w:pPr>
        <w:spacing w:before="0" w:after="100" w:line="259" w:lineRule="auto"/>
        <w:jc w:val="both"/>
      </w:pPr>
      <w:r>
        <w:rPr>
          <w:rFonts w:ascii="Arial" w:hAnsi="Arial"/>
          <w:b/>
          <w:i w:val="0"/>
          <w:sz w:val="20"/>
        </w:rPr>
        <w:t>Ethics and data governance:</w:t>
      </w:r>
      <w:r>
        <w:rPr>
          <w:rFonts w:ascii="Arial" w:hAnsi="Arial"/>
          <w:b w:val="0"/>
          <w:i w:val="0"/>
          <w:sz w:val="20"/>
        </w:rPr>
        <w:t xml:space="preserve"> The study uses previously collected public benchmark or research datasets and does not involve direct interaction with human participants. Dataset licences and institutional computing rules remain applicable. No restricted credentials or private institutional data are included in the public repository.</w:t>
      </w:r>
    </w:p>
    <w:p w14:paraId="001000F6" w14:textId="001000F7">
      <w:pPr>
        <w:spacing w:before="0" w:after="100" w:line="259" w:lineRule="auto"/>
        <w:jc w:val="both"/>
      </w:pPr>
      <w:r>
        <w:rPr>
          <w:rFonts w:ascii="Arial" w:hAnsi="Arial"/>
          <w:b/>
          <w:i w:val="0"/>
          <w:sz w:val="20"/>
        </w:rPr>
        <w:t>Code and data availability:</w:t>
      </w:r>
      <w:r>
        <w:rPr>
          <w:rFonts w:ascii="Arial" w:hAnsi="Arial"/>
          <w:b w:val="0"/>
          <w:i w:val="0"/>
          <w:sz w:val="20"/>
        </w:rPr>
        <w:t xml:space="preserve"> Reproducibility code, configurations, preprocessing contracts, result summaries, and public evidence bindings are available at https://github.com/1838904818/Class-IL. Original datasets remain with their respective providers; the repository documents acquisition and preparation rather than redistributing data where licence or size makes redistribution inappropriate.</w:t>
      </w:r>
    </w:p>
    <w:p w14:paraId="001000F8" w14:textId="001000F9">
      <w:pPr>
        <w:pStyle w:val="Heading1"/>
        <w:keepNext/>
      </w:pPr>
      <w:r>
        <w:t>References</w:t>
      </w:r>
    </w:p>
    <w:p w14:paraId="001000FA" w14:textId="001000FB">
      <w:pPr>
        <w:spacing w:before="0" w:after="40" w:line="259" w:lineRule="auto"/>
        <w:ind w:start="288" w:hanging="288"/>
        <w:jc w:val="left"/>
      </w:pPr>
      <w:r>
        <w:rPr>
          <w:rFonts w:ascii="Arial" w:hAnsi="Arial"/>
          <w:b w:val="0"/>
          <w:i w:val="0"/>
          <w:sz w:val="16"/>
        </w:rPr>
        <w:t>Adabara, I., Sadiq, B. O., Aliyu, N. S., Yale, I. D., Maninti, V., and Mutebi, J. (2025). Toward trustworthy cyber defense: A cognitive intrusion detection system with explainability and probabilistic uncertainty calibration. KIU Journal of Science, Engineering and Technology, 4(2), 160-172. https://doi.org/10.59568/KJSET-2025-4-2-16</w:t>
      </w:r>
    </w:p>
    <w:p w14:paraId="001000FC" w14:textId="001000FD">
      <w:pPr>
        <w:spacing w:before="0" w:after="40" w:line="259" w:lineRule="auto"/>
        <w:ind w:start="288" w:hanging="288"/>
        <w:jc w:val="left"/>
      </w:pPr>
      <w:r>
        <w:rPr>
          <w:rFonts w:ascii="Arial" w:hAnsi="Arial"/>
          <w:b w:val="0"/>
          <w:i w:val="0"/>
          <w:sz w:val="16"/>
        </w:rPr>
        <w:t>French, R. M. (1999). Catastrophic forgetting in connectionist networks. Trends in Cognitive Sciences, 3(4), 128-135. https://doi.org/10.1016/S1364-6613(99)01294-2</w:t>
      </w:r>
    </w:p>
    <w:p w14:paraId="001000FE" w14:textId="001000FF">
      <w:pPr>
        <w:spacing w:before="0" w:after="40" w:line="259" w:lineRule="auto"/>
        <w:ind w:start="288" w:hanging="288"/>
        <w:jc w:val="left"/>
      </w:pPr>
      <w:r>
        <w:rPr>
          <w:rFonts w:ascii="Arial" w:hAnsi="Arial"/>
          <w:b w:val="0"/>
          <w:i w:val="0"/>
          <w:sz w:val="16"/>
        </w:rPr>
        <w:t>Goncalves, H., and Alomari, Z. (2026). Explainable AI for cloud intrusion detection: A user study of SHAP and LIME in AWS GuardDuty. 2026 IEEE 5th International Conference on AI in Cybersecurity. https://doi.org/10.1109/ICAIC67076.2026.11395766</w:t>
      </w:r>
    </w:p>
    <w:p w14:paraId="00100197" w14:textId="00100198">
      <w:pPr>
        <w:pStyle w:val="Normal"/>
        <w:spacing w:after="40" w:line="259" w:lineRule="auto"/>
        <w:ind w:start="288" w:hanging="288"/>
      </w:pPr>
      <w:r>
        <w:rPr>
          <w:sz w:val="16"/>
        </w:rPr>
        <w:t xml:space="preserve">Gorishniy, Y., Kotelnikov, A., and Babenko, A. (2025). TabM: Advancing tabular deep learning with parameter-efficient ensembling. International Conference on Learning Representations. https://arxiv.org/abs/2410.24210</w:t>
      </w:r>
    </w:p>
    <w:p w14:paraId="00100100" w14:textId="00100101">
      <w:pPr>
        <w:spacing w:before="0" w:after="40" w:line="259" w:lineRule="auto"/>
        <w:ind w:start="288" w:hanging="288"/>
        <w:jc w:val="left"/>
      </w:pPr>
      <w:r>
        <w:rPr>
          <w:rFonts w:ascii="Arial" w:hAnsi="Arial"/>
          <w:b w:val="0"/>
          <w:i w:val="0"/>
          <w:sz w:val="16"/>
        </w:rPr>
        <w:t>Hu, E. J., Shen, Y., Wallis, P., Allen-Zhu, Z., Li, Y., Wang, S., Wang, L., and Chen, W. (2022). LoRA: Low-rank adaptation of large language models. International Conference on Learning Representations. https://openreview.net/forum?id=nZeVKeeFYf9</w:t>
      </w:r>
    </w:p>
    <w:p w14:paraId="00100102" w14:textId="00100103">
      <w:pPr>
        <w:spacing w:before="0" w:after="40" w:line="259" w:lineRule="auto"/>
        <w:ind w:start="288" w:hanging="288"/>
        <w:jc w:val="left"/>
      </w:pPr>
      <w:r>
        <w:rPr>
          <w:rFonts w:ascii="Arial" w:hAnsi="Arial"/>
          <w:b w:val="0"/>
          <w:i w:val="0"/>
          <w:sz w:val="16"/>
        </w:rPr>
        <w:t>Kirkpatrick, J., et al. (2017). Overcoming catastrophic forgetting in neural networks. Proceedings of the National Academy of Sciences, 114(13), 3521-3526. https://doi.org/10.1073/pnas.1611835114</w:t>
      </w:r>
    </w:p>
    <w:p w14:paraId="00100104" w14:textId="00100105">
      <w:pPr>
        <w:spacing w:before="0" w:after="40" w:line="259" w:lineRule="auto"/>
        <w:ind w:start="288" w:hanging="288"/>
        <w:jc w:val="left"/>
      </w:pPr>
      <w:r>
        <w:rPr>
          <w:rFonts w:ascii="Arial" w:hAnsi="Arial"/>
          <w:b w:val="0"/>
          <w:i w:val="0"/>
          <w:sz w:val="16"/>
        </w:rPr>
        <w:t>Lundberg, S. M., and Lee, S.-I. (2017). A unified approach to interpreting model predictions. Advances in Neural Information Processing Systems, 30.</w:t>
      </w:r>
    </w:p>
    <w:p w14:paraId="00100106" w14:textId="00100107">
      <w:pPr>
        <w:spacing w:before="0" w:after="40" w:line="259" w:lineRule="auto"/>
        <w:ind w:start="288" w:hanging="288"/>
        <w:jc w:val="left"/>
      </w:pPr>
      <w:r>
        <w:rPr>
          <w:rFonts w:ascii="Arial" w:hAnsi="Arial"/>
          <w:b w:val="0"/>
          <w:i w:val="0"/>
          <w:sz w:val="16"/>
        </w:rPr>
        <w:t>Maseno, E. M., Sun, Y., and Wang, Z. (2026). Detecting adversarial evasion in deep learning intrusion detection systems using explainable AI. International Journal of Information Security, 25, Article 125. https://doi.org/10.1007/s10207-026-01299-x</w:t>
      </w:r>
    </w:p>
    <w:p w14:paraId="00100108" w14:textId="00100109">
      <w:pPr>
        <w:spacing w:before="0" w:after="40" w:line="259" w:lineRule="auto"/>
        <w:ind w:start="288" w:hanging="288"/>
        <w:jc w:val="left"/>
      </w:pPr>
      <w:r>
        <w:rPr>
          <w:rFonts w:ascii="Arial" w:hAnsi="Arial"/>
          <w:b w:val="0"/>
          <w:i w:val="0"/>
          <w:sz w:val="16"/>
        </w:rPr>
        <w:t>Nugraha, B., and Bauschert, T. (2026). E2D2: A modular framework for explanation-based drift detection in unsupervised network intrusion detection. 2026 IFIP Networking Conference. https://doi.org/10.23919/IFIPNetworking70592.2026.11578962</w:t>
      </w:r>
    </w:p>
    <w:p w14:paraId="00100199" w14:textId="0010019A">
      <w:pPr>
        <w:pStyle w:val="Normal"/>
        <w:spacing w:after="40" w:line="259" w:lineRule="auto"/>
        <w:ind w:start="288" w:hanging="288"/>
      </w:pPr>
      <w:r>
        <w:rPr>
          <w:sz w:val="16"/>
        </w:rPr>
        <w:t xml:space="preserve">Prokhorenkova, L., Gusev, G., Vorobev, A., Dorogush, A. V., and Gulin, A. (2018). CatBoost: Unbiased boosting with categorical features. Advances in Neural Information Processing Systems, 31.</w:t>
      </w:r>
    </w:p>
    <w:p w14:paraId="0010010A" w14:textId="0010010B">
      <w:pPr>
        <w:spacing w:before="0" w:after="40" w:line="259" w:lineRule="auto"/>
        <w:ind w:start="288" w:hanging="288"/>
        <w:jc w:val="left"/>
      </w:pPr>
      <w:r>
        <w:rPr>
          <w:rFonts w:ascii="Arial" w:hAnsi="Arial"/>
          <w:b w:val="0"/>
          <w:i w:val="0"/>
          <w:sz w:val="16"/>
        </w:rPr>
        <w:t>Rebuffi, S.-A., Kolesnikov, A., Sperl, G., and Lampert, C. H. (2017). iCaRL: Incremental classifier and representation learning. Proceedings of the IEEE Conference on Computer Vision and Pattern Recognition, 2001-2010.</w:t>
      </w:r>
    </w:p>
    <w:p w14:paraId="0010010C" w14:textId="0010010D">
      <w:pPr>
        <w:spacing w:before="0" w:after="40" w:line="259" w:lineRule="auto"/>
        <w:ind w:start="288" w:hanging="288"/>
        <w:jc w:val="left"/>
      </w:pPr>
      <w:r>
        <w:rPr>
          <w:rFonts w:ascii="Arial" w:hAnsi="Arial"/>
          <w:b w:val="0"/>
          <w:i w:val="0"/>
          <w:sz w:val="16"/>
        </w:rPr>
        <w:t>Tolomei, G., Silvestri, F., Haines, A., and Lalmas, M. (2017). Interpretable predictions of tree-based ensembles via actionable feature tweaking. Proceedings of KDD, 465-474.</w:t>
      </w:r>
    </w:p>
    <w:sectPr w:rsidRPr="0006063C" w:rsidR="00FC693F" w:rsidSect="00034616">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10" w14:textId="001001A0">
    <w:pPr>
      <w:pStyle w:val="Footer"/>
      <w:jc w:val="center"/>
    </w:pPr>
    <w:r>
      <w:rPr>
        <w:rFonts w:ascii="Arial" w:hAnsi="Arial"/>
        <w:b w:val="0"/>
        <w:i w:val="0"/>
        <w:color w:val="5A646E"/>
        <w:sz w:val="16"/>
      </w:rPr>
      <w:t xml:space="preserve">WU LIQIANG | Research manuscript v2.2 | Page </w:t>
    </w:r>
    <w:r>
      <w:fldChar w:fldCharType="begin"/>
    </w:r>
    <w:r>
      <w:instrText xml:space="preserve"> PAGE </w:instrText>
    </w:r>
    <w:r>
      <w:fldChar w:fldCharType="separate"/>
    </w:r>
    <w:r>
      <w:t xml:space="preserve">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0E" w14:textId="0010019F">
    <w:pPr>
      <w:pStyle w:val="Header"/>
      <w:jc w:val="right"/>
    </w:pPr>
    <w:r>
      <w:rPr>
        <w:rFonts w:ascii="Arial" w:hAnsi="Arial"/>
        <w:b w:val="0"/>
        <w:i w:val="0"/>
        <w:color w:val="5A646E"/>
        <w:sz w:val="16"/>
      </w:rPr>
      <w:t xml:space="preserve">OFRA + ETG | Supervisor revision | 19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asciiTheme="majorHAnsi" w:hAnsiTheme="majorHAnsi" w:eastAsiaTheme="majorEastAsia" w:cstheme="majorBidi"/>
      <w:b/>
      <w:bCs/>
      <w:color w:val="0F2A4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Arial" w:hAnsi="Arial" w:asciiTheme="majorHAnsi" w:hAnsiTheme="majorHAnsi" w:eastAsiaTheme="majorEastAsia" w:cstheme="majorBidi"/>
      <w:b/>
      <w:bCs/>
      <w:color w:val="205C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Arial" w:hAnsi="Arial" w:asciiTheme="majorHAnsi" w:hAnsiTheme="majorHAnsi" w:eastAsiaTheme="majorEastAsia" w:cstheme="majorBidi"/>
      <w:b/>
      <w:bCs/>
      <w:color w:val="205C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Explanation Stability and Post-hoc Trust Governance for Class-Incremental Network Traffic Classification</dc:title>
  <dc:subject>OFRA and ETG research manuscript</dc:subject>
  <dc:creator>WU LIQIANG</dc:creator>
  <cp:keywords>continual learning; network intrusion detection; explanation stability; SHAP; OFRA; ETG</cp:keywords>
  <cp:lastModifiedBy>WU LIQIANG</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1.0.139</vt:lpwstr>
  </op:property>
  <op:property fmtid="{D5CDD505-2E9C-101B-9397-08002B2CF9AE}" pid="3" name="OfficeCLI.LastModified">
    <vt:lpwstr xmlns:vt="http://schemas.openxmlformats.org/officeDocument/2006/docPropsVTypes">2026-08-18T21:09:54Z</vt:lpwstr>
  </op:property>
</op:Properties>
</file>