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92d6f8346bb84efb"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studies prediction, explanation stability, and post-hoc governance as linked but separately bounded layers. OFRA combines a shared tabular encoder, family-specific low-rank binary heads, bounded replay, and a DP-Means router. Expected-Gradients SHAP explains the registered joint-cap class margin, and ETG records certification, refusal, escalation, and strict recertification outcomes without changing the prediction. Strict five-seed prediction evidence is available for NSL-KDD, UNSW-NB15, CIC-IDS-2017, and MalayaNetwork_GT, with model capacity disclosed per dataset. On Malaya FT512x12, joint cap 3,000 improves Macro-F1 by 9.37 percentage points and balanced accuracy by 7.97 points relative to head-only, while the accuracy difference is -1.34 points and the forgetting difference is +0.39 points. A source-bound Malaya seed-1 analysis identifies 12 silent-drift events among 17 eligible transitions and executes the ETG state machine on the same routed score. A three-method robustness pilot quantifies attribution dependence, while a no-look-ahead audit confirms Task-0-only numerical scaling but identifies bounded future-category schema exposure in NSL-KDD and UNSW-NB15. The evidence supports a reproducible offline audit pipeline and dataset-dependent trade-offs, not an online feedback loop or universal superiority.</w:t>
      </w:r>
    </w:p>
    <w:p w14:paraId="0010019D" w14:textId="0010019E">
      <w:pPr>
        <w:pStyle w:val="Normal"/>
      </w:pPr>
      <w:r>
        <w:rPr/>
        <w:t xml:space="preserve">The cumulative CatBoost and TabM rows retrain on all seen-class training samples and therefore have more information than OFRA's bounded replay pipeline. They diagnose classification headroom but cannot isolate the effect of the encoder, family heads, router, or memory budget. The CatBoost 400-tree setting is exploratory because it followed a seed-1 sensitivity check; no confirmatory superiority claim is made.</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rPr>
          <w:rFonts w:ascii="Arial" w:hAnsi="Arial"/>
          <w:b/>
          <w:i w:val="0"/>
          <w:sz w:val="20"/>
        </w:rPr>
        <w:t>RQ1:</w:t>
      </w:r>
      <w:r>
        <w:rPr>
          <w:rFonts w:ascii="Arial" w:hAnsi="Arial"/>
          <w:b w:val="0"/>
          <w:i w:val="0"/>
          <w:sz w:val="20"/>
        </w:rPr>
        <w:t xml:space="preserve"> Under legitimate class-incremental model updates, how stable are the feature attributions supporting OFRA's registered routed decision when class-level predictive performance remains within a declared stability rule?</w:t>
      </w:r>
    </w:p>
    <w:p w14:paraId="0010001C" w14:textId="00100114">
      <w:pPr>
        <w:spacing w:before="0" w:after="100" w:line="259" w:lineRule="auto"/>
        <w:jc w:val="both"/>
      </w:pPr>
      <w:r>
        <w:rPr>
          <w:rFonts w:ascii="Arial" w:hAnsi="Arial"/>
          <w:b/>
          <w:i w:val="0"/>
          <w:sz w:val="20"/>
        </w:rPr>
        <w:t xml:space="preserve">RQ2: What accuracy, Macro-F1, balanced-accuracy, and forgetting trade-offs arise between registered OFRA decision arms, and what additional headroom is indicated by bounded classifier comparisons?</w:t>
      </w:r>
    </w:p>
    <w:p w14:paraId="0010001E" w14:textId="0010001F">
      <w:pPr>
        <w:spacing w:before="0" w:after="100" w:line="259" w:lineRule="auto"/>
        <w:jc w:val="both"/>
      </w:pPr>
      <w:r>
        <w:rPr>
          <w:rFonts w:ascii="Arial" w:hAnsi="Arial"/>
          <w:b/>
          <w:i w:val="0"/>
          <w:sz w:val="20"/>
        </w:rPr>
        <w:t>RQ3:</w:t>
      </w:r>
      <w:r>
        <w:rPr>
          <w:rFonts w:ascii="Arial" w:hAnsi="Arial"/>
          <w:b w:val="0"/>
          <w:i w:val="0"/>
          <w:sz w:val="20"/>
        </w:rPr>
        <w:t xml:space="preserve"> How can explanation evidence be certified, refused, escalated, and re-certified after prediction without suppressing the underlying network-classification alert?</w:t>
      </w:r>
    </w:p>
    <w:p w14:paraId="00100020" w14:textId="00100115">
      <w:pPr>
        <w:spacing w:before="0" w:after="100" w:line="259" w:lineRule="auto"/>
        <w:jc w:val="both"/>
      </w:pPr>
      <w:r>
        <w:rPr>
          <w:rFonts w:ascii="Arial" w:hAnsi="Arial"/>
          <w:b w:val="0"/>
          <w:i w:val="0"/>
          <w:sz w:val="20"/>
        </w:rPr>
        <w:t xml:space="preserve">RO1 is to implement a fixed-probe, adjacent-checkpoint protocol for the actual joint-cap class margin. RO2 is to compare registered OFRA decision arms and bounded encoder or classifier diagnostics without changing the primary method or mixing unmatched protocols. RO3 is to operate an offline ETG ledger whose state transitions and limitations are explicitly auditable.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current strict five-seed prediction table uses seeds 1, 2, 3, 4, and 42. NSL-KDD, UNSW-NB15, and CIC-IDS-2017 use FT-Transformer 256x4, while MalayaNetwork_GT uses FT-Transformer 512x12; these rows are therefore reported as dataset-specific evidence rather than a capacity-matched pooled comparison. Malaya is an application-traffic dataset rather than an intrusion-detection benchmark. A protocol-separated CIC-IDS-2018 FT256x4 closure also exists under a shorter 1+1-epoch schedule, while the stricter current CIC-IDS-2018 campaign remains in progress and is excluded from the headline table.</w:t>
      </w:r>
    </w:p>
    <w:p w14:paraId="00100060" w14:textId="001001A3">
      <w:pPr>
        <w:spacing w:before="0" w:after="100" w:line="259" w:lineRule="auto"/>
        <w:jc w:val="both"/>
      </w:pPr>
      <w:r>
        <w:rPr>
          <w:rFonts w:ascii="Arial" w:hAnsi="Arial"/>
          <w:b w:val="0"/>
          <w:i w:val="0"/>
          <w:sz w:val="20"/>
        </w:rPr>
        <w:t xml:space="preserve">Dataset-specific preprocessing removes identifiers, normalises labels, converts features to finite numerical arrays, fixes feature and class order, and constructs class-by-split shards. NSL-KDD retains its official train/test files and produces 122 features; UNSW-NB15 likewise retains its official files and produces 194 features.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 xml:space="preserve">The code/data no-look-ahead audit confirms that numerical standardisation reads only Task-0 training shards, freezes before pretraining, and rejects later updates. It also finds a bounded transductive categorical-schema limitation: relative to Task-0-only vocabularies, NSL-KDD has six future-only one-hot columns affecting 115 of 12,703 later-task rows (0.905%), and UNSW-NB15 has eight affecting 712 of 79,341 rows (0.897%). This is neither official-test leakage nor future-label training, but the affected preprocessing contracts are not strictly no-look-ahead.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100080" w14:textId="00100081">
      <w:pPr>
        <w:pStyle w:val="Heading1"/>
        <w:keepNext/>
      </w:pPr>
      <w:r>
        <w:t>4. Results</w:t>
      </w:r>
    </w:p>
    <w:p w14:paraId="00100082" w14:textId="00100083">
      <w:pPr>
        <w:pStyle w:val="Heading2"/>
        <w:keepNext/>
      </w:pPr>
      <w:r>
        <w:t>4.1 RQ1: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rPr/>
        <w:t xml:space="preserve">4.2 RQ1: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 xml:space="preserve">4.3 RQ2: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pPr>
              <w:spacing w:after="0"/>
            </w:pPr>
            <w:r>
              <w:rPr>
                <w:sz w:val="16"/>
              </w:rPr>
              <w:t>Dataset / model</w:t>
            </w:r>
          </w:p>
        </w:tc>
        <w:tc>
          <w:tcPr>
            <w:tcW w:w="1350" w:type="dxa"/>
            <w:shd w:val="clear" w:fill="EAF0F5"/>
            <w:tcMar>
              <w:top w:w="80" w:type="dxa"/>
              <w:start w:w="120" w:type="dxa"/>
              <w:bottom w:w="80" w:type="dxa"/>
              <w:end w:w="120" w:type="dxa"/>
            </w:tcMar>
            <w:vAlign w:val="center"/>
          </w:tcPr>
          <w:p>
            <w:pPr>
              <w:spacing w:after="0"/>
            </w:pPr>
            <w:r>
              <w:rPr>
                <w:sz w:val="16"/>
              </w:rPr>
              <w:t>Arm</w:t>
            </w:r>
          </w:p>
        </w:tc>
        <w:tc>
          <w:tcPr>
            <w:tcW w:w="1650" w:type="dxa"/>
            <w:shd w:val="clear" w:fill="EAF0F5"/>
            <w:tcMar>
              <w:top w:w="80" w:type="dxa"/>
              <w:start w:w="120" w:type="dxa"/>
              <w:bottom w:w="80" w:type="dxa"/>
              <w:end w:w="120" w:type="dxa"/>
            </w:tcMar>
            <w:vAlign w:val="center"/>
          </w:tcPr>
          <w:p>
            <w:pPr>
              <w:spacing w:after="0"/>
            </w:pPr>
            <w:r>
              <w:rPr>
                <w:sz w:val="16"/>
              </w:rPr>
              <w:t>Accuracy</w:t>
            </w:r>
          </w:p>
        </w:tc>
        <w:tc>
          <w:tcPr>
            <w:tcW w:w="1650" w:type="dxa"/>
            <w:shd w:val="clear" w:fill="EAF0F5"/>
            <w:tcMar>
              <w:top w:w="80" w:type="dxa"/>
              <w:start w:w="120" w:type="dxa"/>
              <w:bottom w:w="80" w:type="dxa"/>
              <w:end w:w="120" w:type="dxa"/>
            </w:tcMar>
            <w:vAlign w:val="center"/>
          </w:tcPr>
          <w:p>
            <w:pPr>
              <w:spacing w:after="0"/>
            </w:pPr>
            <w:r>
              <w:rPr>
                <w:sz w:val="16"/>
              </w:rPr>
              <w:t>Macro-F1</w:t>
            </w:r>
          </w:p>
        </w:tc>
        <w:tc>
          <w:tcPr>
            <w:tcW w:w="1700" w:type="dxa"/>
            <w:shd w:val="clear" w:fill="EAF0F5"/>
            <w:tcMar>
              <w:top w:w="80" w:type="dxa"/>
              <w:start w:w="120" w:type="dxa"/>
              <w:bottom w:w="80" w:type="dxa"/>
              <w:end w:w="120" w:type="dxa"/>
            </w:tcMar>
            <w:vAlign w:val="center"/>
          </w:tcPr>
          <w:p>
            <w:pPr>
              <w:spacing w:after="0"/>
            </w:pPr>
            <w:r>
              <w:rPr>
                <w:sz w:val="16"/>
              </w:rPr>
              <w:t>Balanced acc.</w:t>
            </w:r>
          </w:p>
        </w:tc>
        <w:tc>
          <w:tcPr>
            <w:tcW w:w="1710" w:type="dxa"/>
            <w:shd w:val="clear" w:fill="EAF0F5"/>
            <w:tcMar>
              <w:top w:w="80" w:type="dxa"/>
              <w:start w:w="120" w:type="dxa"/>
              <w:bottom w:w="80" w:type="dxa"/>
              <w:end w:w="120" w:type="dxa"/>
            </w:tcMar>
            <w:vAlign w:val="center"/>
          </w:tcPr>
          <w:p>
            <w:pPr>
              <w:spacing w:after="0"/>
            </w:pPr>
            <w:r>
              <w:rPr>
                <w:sz w:val="16"/>
              </w:rPr>
              <w:t>Forgetting</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56.29</w:t>
            </w:r>
          </w:p>
        </w:tc>
        <w:tc>
          <w:tcPr>
            <w:tcW w:w="1650" w:type="dxa"/>
            <w:tcMar>
              <w:top w:w="80" w:type="dxa"/>
              <w:start w:w="120" w:type="dxa"/>
              <w:bottom w:w="80" w:type="dxa"/>
              <w:end w:w="120" w:type="dxa"/>
            </w:tcMar>
            <w:vAlign w:val="center"/>
          </w:tcPr>
          <w:p>
            <w:pPr>
              <w:spacing w:after="0"/>
            </w:pPr>
            <w:r>
              <w:rPr>
                <w:sz w:val="16"/>
              </w:rPr>
              <w:t>31.08</w:t>
            </w:r>
          </w:p>
        </w:tc>
        <w:tc>
          <w:tcPr>
            <w:tcW w:w="1700" w:type="dxa"/>
            <w:tcMar>
              <w:top w:w="80" w:type="dxa"/>
              <w:start w:w="120" w:type="dxa"/>
              <w:bottom w:w="80" w:type="dxa"/>
              <w:end w:w="120" w:type="dxa"/>
            </w:tcMar>
            <w:vAlign w:val="center"/>
          </w:tcPr>
          <w:p>
            <w:pPr>
              <w:spacing w:after="0"/>
            </w:pPr>
            <w:r>
              <w:rPr>
                <w:sz w:val="16"/>
              </w:rPr>
              <w:t>36.48</w:t>
            </w:r>
          </w:p>
        </w:tc>
        <w:tc>
          <w:tcPr>
            <w:tcW w:w="1710" w:type="dxa"/>
            <w:tcMar>
              <w:top w:w="80" w:type="dxa"/>
              <w:start w:w="120" w:type="dxa"/>
              <w:bottom w:w="80" w:type="dxa"/>
              <w:end w:w="120" w:type="dxa"/>
            </w:tcMar>
            <w:vAlign w:val="center"/>
          </w:tcPr>
          <w:p>
            <w:pPr>
              <w:spacing w:after="0"/>
            </w:pPr>
            <w:r>
              <w:rPr>
                <w:sz w:val="16"/>
              </w:rPr>
              <w:t>8.14 pp</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71.56</w:t>
            </w:r>
          </w:p>
        </w:tc>
        <w:tc>
          <w:tcPr>
            <w:tcW w:w="1650" w:type="dxa"/>
            <w:tcMar>
              <w:top w:w="80" w:type="dxa"/>
              <w:start w:w="120" w:type="dxa"/>
              <w:bottom w:w="80" w:type="dxa"/>
              <w:end w:w="120" w:type="dxa"/>
            </w:tcMar>
            <w:vAlign w:val="center"/>
          </w:tcPr>
          <w:p>
            <w:pPr>
              <w:spacing w:after="0"/>
            </w:pPr>
            <w:r>
              <w:rPr>
                <w:sz w:val="16"/>
              </w:rPr>
              <w:t>41.46</w:t>
            </w:r>
          </w:p>
        </w:tc>
        <w:tc>
          <w:tcPr>
            <w:tcW w:w="1700" w:type="dxa"/>
            <w:tcMar>
              <w:top w:w="80" w:type="dxa"/>
              <w:start w:w="120" w:type="dxa"/>
              <w:bottom w:w="80" w:type="dxa"/>
              <w:end w:w="120" w:type="dxa"/>
            </w:tcMar>
            <w:vAlign w:val="center"/>
          </w:tcPr>
          <w:p>
            <w:pPr>
              <w:spacing w:after="0"/>
            </w:pPr>
            <w:r>
              <w:rPr>
                <w:sz w:val="16"/>
              </w:rPr>
              <w:t>42.25</w:t>
            </w:r>
          </w:p>
        </w:tc>
        <w:tc>
          <w:tcPr>
            <w:tcW w:w="1710" w:type="dxa"/>
            <w:tcMar>
              <w:top w:w="80" w:type="dxa"/>
              <w:start w:w="120" w:type="dxa"/>
              <w:bottom w:w="80" w:type="dxa"/>
              <w:end w:w="120" w:type="dxa"/>
            </w:tcMar>
            <w:vAlign w:val="center"/>
          </w:tcPr>
          <w:p>
            <w:pPr>
              <w:spacing w:after="0"/>
            </w:pPr>
            <w:r>
              <w:rPr>
                <w:sz w:val="16"/>
              </w:rPr>
              <w:t>1.60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68.78</w:t>
            </w:r>
          </w:p>
        </w:tc>
        <w:tc>
          <w:tcPr>
            <w:tcW w:w="1650" w:type="dxa"/>
            <w:tcMar>
              <w:top w:w="80" w:type="dxa"/>
              <w:start w:w="120" w:type="dxa"/>
              <w:bottom w:w="80" w:type="dxa"/>
              <w:end w:w="120" w:type="dxa"/>
            </w:tcMar>
            <w:vAlign w:val="center"/>
          </w:tcPr>
          <w:p>
            <w:pPr>
              <w:spacing w:after="0"/>
            </w:pPr>
            <w:r>
              <w:rPr>
                <w:sz w:val="16"/>
              </w:rPr>
              <w:t>21.16</w:t>
            </w:r>
          </w:p>
        </w:tc>
        <w:tc>
          <w:tcPr>
            <w:tcW w:w="1700" w:type="dxa"/>
            <w:tcMar>
              <w:top w:w="80" w:type="dxa"/>
              <w:start w:w="120" w:type="dxa"/>
              <w:bottom w:w="80" w:type="dxa"/>
              <w:end w:w="120" w:type="dxa"/>
            </w:tcMar>
            <w:vAlign w:val="center"/>
          </w:tcPr>
          <w:p>
            <w:pPr>
              <w:spacing w:after="0"/>
            </w:pPr>
            <w:r>
              <w:rPr>
                <w:sz w:val="16"/>
              </w:rPr>
              <w:t>23.52</w:t>
            </w:r>
          </w:p>
        </w:tc>
        <w:tc>
          <w:tcPr>
            <w:tcW w:w="1710" w:type="dxa"/>
            <w:tcMar>
              <w:top w:w="80" w:type="dxa"/>
              <w:start w:w="120" w:type="dxa"/>
              <w:bottom w:w="80" w:type="dxa"/>
              <w:end w:w="120" w:type="dxa"/>
            </w:tcMar>
            <w:vAlign w:val="center"/>
          </w:tcPr>
          <w:p>
            <w:pPr>
              <w:spacing w:after="0"/>
            </w:pPr>
            <w:r>
              <w:rPr>
                <w:sz w:val="16"/>
              </w:rPr>
              <w:t>2.68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61.95</w:t>
            </w:r>
          </w:p>
        </w:tc>
        <w:tc>
          <w:tcPr>
            <w:tcW w:w="1650" w:type="dxa"/>
            <w:tcMar>
              <w:top w:w="80" w:type="dxa"/>
              <w:start w:w="120" w:type="dxa"/>
              <w:bottom w:w="80" w:type="dxa"/>
              <w:end w:w="120" w:type="dxa"/>
            </w:tcMar>
            <w:vAlign w:val="center"/>
          </w:tcPr>
          <w:p>
            <w:pPr>
              <w:spacing w:after="0"/>
            </w:pPr>
            <w:r>
              <w:rPr>
                <w:sz w:val="16"/>
              </w:rPr>
              <w:t>23.50</w:t>
            </w:r>
          </w:p>
        </w:tc>
        <w:tc>
          <w:tcPr>
            <w:tcW w:w="1700" w:type="dxa"/>
            <w:tcMar>
              <w:top w:w="80" w:type="dxa"/>
              <w:start w:w="120" w:type="dxa"/>
              <w:bottom w:w="80" w:type="dxa"/>
              <w:end w:w="120" w:type="dxa"/>
            </w:tcMar>
            <w:vAlign w:val="center"/>
          </w:tcPr>
          <w:p>
            <w:pPr>
              <w:spacing w:after="0"/>
            </w:pPr>
            <w:r>
              <w:rPr>
                <w:sz w:val="16"/>
              </w:rPr>
              <w:t>28.45</w:t>
            </w:r>
          </w:p>
        </w:tc>
        <w:tc>
          <w:tcPr>
            <w:tcW w:w="1710" w:type="dxa"/>
            <w:tcMar>
              <w:top w:w="80" w:type="dxa"/>
              <w:start w:w="120" w:type="dxa"/>
              <w:bottom w:w="80" w:type="dxa"/>
              <w:end w:w="120" w:type="dxa"/>
            </w:tcMar>
            <w:vAlign w:val="center"/>
          </w:tcPr>
          <w:p>
            <w:pPr>
              <w:spacing w:after="0"/>
            </w:pPr>
            <w:r>
              <w:rPr>
                <w:sz w:val="16"/>
              </w:rPr>
              <w:t>8.97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Head only</w:t>
            </w:r>
          </w:p>
        </w:tc>
        <w:tc>
          <w:tcPr>
            <w:tcW w:type="dxa" w:w="1650"/>
            <w:vAlign w:val="center"/>
          </w:tcPr>
          <w:p>
            <w:pPr>
              <w:spacing w:after="0"/>
            </w:pPr>
            <w:r>
              <w:rPr>
                <w:sz w:val="16"/>
              </w:rPr>
              <w:t>64.59</w:t>
            </w:r>
          </w:p>
        </w:tc>
        <w:tc>
          <w:tcPr>
            <w:tcW w:type="dxa" w:w="1650"/>
            <w:vAlign w:val="center"/>
          </w:tcPr>
          <w:p>
            <w:pPr>
              <w:spacing w:after="0"/>
            </w:pPr>
            <w:r>
              <w:rPr>
                <w:sz w:val="16"/>
              </w:rPr>
              <w:t>21.25</w:t>
            </w:r>
          </w:p>
        </w:tc>
        <w:tc>
          <w:tcPr>
            <w:tcW w:type="dxa" w:w="1700"/>
            <w:vAlign w:val="center"/>
          </w:tcPr>
          <w:p>
            <w:pPr>
              <w:spacing w:after="0"/>
            </w:pPr>
            <w:r>
              <w:rPr>
                <w:sz w:val="16"/>
              </w:rPr>
              <w:t>25.91</w:t>
            </w:r>
          </w:p>
        </w:tc>
        <w:tc>
          <w:tcPr>
            <w:tcW w:type="dxa" w:w="1710"/>
            <w:vAlign w:val="center"/>
          </w:tcPr>
          <w:p>
            <w:pPr>
              <w:spacing w:after="0"/>
            </w:pPr>
            <w:r>
              <w:rPr>
                <w:sz w:val="16"/>
              </w:rPr>
              <w:t>9.04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Joint cap</w:t>
            </w:r>
          </w:p>
        </w:tc>
        <w:tc>
          <w:tcPr>
            <w:tcW w:type="dxa" w:w="1650"/>
            <w:vAlign w:val="center"/>
          </w:tcPr>
          <w:p>
            <w:pPr>
              <w:spacing w:after="0"/>
            </w:pPr>
            <w:r>
              <w:rPr>
                <w:sz w:val="16"/>
              </w:rPr>
              <w:t>72.57</w:t>
            </w:r>
          </w:p>
        </w:tc>
        <w:tc>
          <w:tcPr>
            <w:tcW w:type="dxa" w:w="1650"/>
            <w:vAlign w:val="center"/>
          </w:tcPr>
          <w:p>
            <w:pPr>
              <w:spacing w:after="0"/>
            </w:pPr>
            <w:r>
              <w:rPr>
                <w:sz w:val="16"/>
              </w:rPr>
              <w:t>36.95</w:t>
            </w:r>
          </w:p>
        </w:tc>
        <w:tc>
          <w:tcPr>
            <w:tcW w:type="dxa" w:w="1700"/>
            <w:vAlign w:val="center"/>
          </w:tcPr>
          <w:p>
            <w:pPr>
              <w:spacing w:after="0"/>
            </w:pPr>
            <w:r>
              <w:rPr>
                <w:sz w:val="16"/>
              </w:rPr>
              <w:t>63.13</w:t>
            </w:r>
          </w:p>
        </w:tc>
        <w:tc>
          <w:tcPr>
            <w:tcW w:type="dxa" w:w="1710"/>
            <w:vAlign w:val="center"/>
          </w:tcPr>
          <w:p>
            <w:pPr>
              <w:spacing w:after="0"/>
            </w:pPr>
            <w:r>
              <w:rPr>
                <w:sz w:val="16"/>
              </w:rPr>
              <w:t>9.63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Head only</w:t>
            </w:r>
          </w:p>
        </w:tc>
        <w:tc>
          <w:tcPr>
            <w:tcW w:type="dxa" w:w="1650"/>
            <w:vAlign w:val="center"/>
          </w:tcPr>
          <w:p>
            <w:pPr>
              <w:spacing w:after="0"/>
            </w:pPr>
            <w:r>
              <w:rPr>
                <w:sz w:val="16"/>
              </w:rPr>
              <w:t>56.03</w:t>
            </w:r>
          </w:p>
        </w:tc>
        <w:tc>
          <w:tcPr>
            <w:tcW w:type="dxa" w:w="1650"/>
            <w:vAlign w:val="center"/>
          </w:tcPr>
          <w:p>
            <w:pPr>
              <w:spacing w:after="0"/>
            </w:pPr>
            <w:r>
              <w:rPr>
                <w:sz w:val="16"/>
              </w:rPr>
              <w:t>11.77</w:t>
            </w:r>
          </w:p>
        </w:tc>
        <w:tc>
          <w:tcPr>
            <w:tcW w:type="dxa" w:w="1700"/>
            <w:vAlign w:val="center"/>
          </w:tcPr>
          <w:p>
            <w:pPr>
              <w:spacing w:after="0"/>
            </w:pPr>
            <w:r>
              <w:rPr>
                <w:sz w:val="16"/>
              </w:rPr>
              <w:t>15.05</w:t>
            </w:r>
          </w:p>
        </w:tc>
        <w:tc>
          <w:tcPr>
            <w:tcW w:type="dxa" w:w="1710"/>
            <w:vAlign w:val="center"/>
          </w:tcPr>
          <w:p>
            <w:pPr>
              <w:spacing w:after="0"/>
            </w:pPr>
            <w:r>
              <w:rPr>
                <w:sz w:val="16"/>
              </w:rPr>
              <w:t>3.16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Joint cap</w:t>
            </w:r>
          </w:p>
        </w:tc>
        <w:tc>
          <w:tcPr>
            <w:tcW w:type="dxa" w:w="1650"/>
            <w:vAlign w:val="center"/>
          </w:tcPr>
          <w:p>
            <w:pPr>
              <w:spacing w:after="0"/>
            </w:pPr>
            <w:r>
              <w:rPr>
                <w:sz w:val="16"/>
              </w:rPr>
              <w:t>54.68</w:t>
            </w:r>
          </w:p>
        </w:tc>
        <w:tc>
          <w:tcPr>
            <w:tcW w:type="dxa" w:w="1650"/>
            <w:vAlign w:val="center"/>
          </w:tcPr>
          <w:p>
            <w:pPr>
              <w:spacing w:after="0"/>
            </w:pPr>
            <w:r>
              <w:rPr>
                <w:sz w:val="16"/>
              </w:rPr>
              <w:t>21.15</w:t>
            </w:r>
          </w:p>
        </w:tc>
        <w:tc>
          <w:tcPr>
            <w:tcW w:type="dxa" w:w="1700"/>
            <w:vAlign w:val="center"/>
          </w:tcPr>
          <w:p>
            <w:pPr>
              <w:spacing w:after="0"/>
            </w:pPr>
            <w:r>
              <w:rPr>
                <w:sz w:val="16"/>
              </w:rPr>
              <w:t>23.03</w:t>
            </w:r>
          </w:p>
        </w:tc>
        <w:tc>
          <w:tcPr>
            <w:tcW w:type="dxa" w:w="1710"/>
            <w:vAlign w:val="center"/>
          </w:tcPr>
          <w:p>
            <w:pPr>
              <w:spacing w:after="0"/>
            </w:pPr>
            <w:r>
              <w:rPr>
                <w:sz w:val="16"/>
              </w:rPr>
              <w:t>3.55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A protocol-separated CIC-IDS-2018 FT256x4 campaign completed seeds 1, 2, 3, 4, and 42 with one Task-0 epoch and one epoch per later task. Head-only inference gives 69.27 +/- 20.34% accuracy, 21.81 +/- 8.82% Macro-F1, 25.67 +/- 6.35% balanced accuracy, and 7.62 +/- 7.54 points of forgetting. Joint cap-3000 gives 52.55 +/- 5.79%, 34.05 +/- 7.54%, 53.93 +/- 7.79%, and 19.03 +/- 8.62 points, respectively. This older closure remains valid only under its shorter schedule. The stricter current CIC-IDS-2018 campaign is still in progress and is not used in the current four-dataset table.</w:t>
      </w:r>
    </w:p>
    <w:p w14:paraId="00100129" w14:textId="001001AF">
      <w:pPr>
        <w:pStyle w:val="Heading2"/>
      </w:pPr>
      <w:r>
        <w:rPr/>
        <w:t xml:space="preserve">4.4 RQ2: Additive classifier comparison</w:t>
      </w:r>
    </w:p>
    <w:p w14:paraId="0010012B" w14:textId="001001EF">
      <w:pPr>
        <w:pStyle w:val="Caption"/>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four datasets, but the current stricter CIC-IDS-2018 campaign remains in progress and model capacity differs between Malaya and the three FT256x4 datasets. Second, SHAP and ETG evidence remains Malaya seed 1; additional seeds are not yet complete. Third, attribution dependence is bounded by a three-method single-seed pilot rather than a multi-seed estimate,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numerical Task-0-only scaling passes the no-look-ahead audit, but NSL-KDD and UNSW-NB15 categorical schemas contain bounded future-category information affecting about 0.9% of later-task rows; strict vocabulary rebuilding and rerunning remain open.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NSL-KDD, UNSW-NB15, CIC-IDS-2017, and MalayaNetwork_GT shows that routing effects are dataset-dependent. On Malaya, joint cap improves class-balanced metrics but does not establish an accuracy or forgetting gain. A source-bound Malaya seed-1 analysis finds 12 silent explanation-drift events among 17 eligible transitions and executes the ETG state machine on the same routed-score evidence; threshold sensitivity and attribution-method dependence are reported explicitly. The work supports a reproducible integrated offline audit pipeline, not an online adaptive loop or universal superiority claim. Remaining submission work is multi-seed explanation/ETG analysis, the strict categorical-vocabulary rebuild and rerun, the current CIC-IDS-2018 closure, and stronger protocol-matched continual-learning baselines.</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rsidRPr="0006063C" w:rsidR="00FC693F"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b w:val="0"/>
        <w:i w:val="0"/>
        <w:color w:val="5A646E"/>
        <w:sz w:val="16"/>
      </w:rPr>
      <w:t xml:space="preserve">WU LIQIANG | Research manuscript v2.3 | Page </w:t>
    </w: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rPr>
        <w:rFonts w:ascii="Arial" w:hAnsi="Arial"/>
        <w:b w:val="0"/>
        <w:i w:val="0"/>
        <w:color w:val="5A646E"/>
        <w:sz w:val="16"/>
      </w:rPr>
      <w:t>OFRA + ETG | Supervisor revision | 24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five-seed evidence revision</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2026-08-24T00:00:00Z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1.0.139</vt:lpwstr>
  </op:property>
  <op:property fmtid="{D5CDD505-2E9C-101B-9397-08002B2CF9AE}" pid="3" name="OfficeCLI.LastModified">
    <vt:lpwstr xmlns:vt="http://schemas.openxmlformats.org/officeDocument/2006/docPropsVTypes">2026-08-18T21:09:54Z</vt:lpwstr>
  </op:property>
</op:Properties>
</file>