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t>Class-incremental network-traffic classification requires a model to learn newly introduced classes without an oracle task identifier while retaining earlier decisions. This paper evaluates prediction, explanation stability, and post-hoc governance as linked but separately bounded layers. OFRA combines a shared tabular encoder, family-specific low-rank binary heads, bounded replay, and a DP-Means router. Expected-Gradients SHAP explains the registered joint-cap class margin, while ETG records certification, refusal, escalation, and strict recertification without changing the prediction. Strict five-seed prediction evidence is available for NSL-KDD, UNSW-NB15, CIC-IDS-2017, and MalayaNetwork_GT, with model capacity disclosed per dataset. On Malaya FT512x12, joint cap 3,000 changes accuracy by -1.34 percentage points, Macro-F1 by +9.37 points, balanced accuracy by +7.97 points, and forgetting by +0.39 points relative to head-only. A source-bound Malaya seed-1 analysis identifies 12 silent-drift events among 17 eligible transitions and executes the ETG state machine on the same routed score. A three-method pilot quantifies attribution dependence, and a no-look-ahead audit confirms Task-0-only numerical scaling while identifying bounded future-category schema exposure in NSL-KDD and UNSW-NB15. The evidence supports a reproducible offline audit pipeline and dataset-dependent trade-offs, not an online feedback loop or universal superiority.</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rPr>
          <w:rFonts w:ascii="Arial" w:hAnsi="Arial"/>
          <w:b/>
          <w:i w:val="0"/>
          <w:sz w:val="20"/>
        </w:rPr>
        <w:t>RQ1:</w:t>
      </w:r>
      <w:r>
        <w:rPr>
          <w:rFonts w:ascii="Arial" w:hAnsi="Arial"/>
          <w:b w:val="0"/>
          <w:i w:val="0"/>
          <w:sz w:val="20"/>
        </w:rPr>
        <w:t xml:space="preserve"> Under legitimate class-incremental model updates, how stable are the feature attributions supporting OFRA's registered routed decision when class-level predictive performance remains within a declared stability rule?</w:t>
      </w:r>
    </w:p>
    <w:p w14:paraId="0010001C" w14:textId="00100114">
      <w:pPr>
        <w:spacing w:before="0" w:after="100" w:line="259" w:lineRule="auto"/>
        <w:jc w:val="both"/>
      </w:pPr>
      <w:r>
        <w:rPr>
          <w:rFonts w:ascii="Arial" w:hAnsi="Arial"/>
          <w:b/>
          <w:i w:val="0"/>
          <w:sz w:val="20"/>
        </w:rPr>
        <w:t xml:space="preserve">RQ2: What accuracy, Macro-F1, balanced-accuracy, and forgetting trade-offs arise between registered OFRA decision arms, and what additional headroom is indicated by bounded classifier comparisons?</w:t>
      </w:r>
    </w:p>
    <w:p w14:paraId="0010001E" w14:textId="0010001F">
      <w:pPr>
        <w:spacing w:before="0" w:after="100" w:line="259" w:lineRule="auto"/>
        <w:jc w:val="both"/>
      </w:pPr>
      <w:r>
        <w:rPr>
          <w:rFonts w:ascii="Arial" w:hAnsi="Arial"/>
          <w:b/>
          <w:i w:val="0"/>
          <w:sz w:val="20"/>
        </w:rPr>
        <w:t>RQ3:</w:t>
      </w:r>
      <w:r>
        <w:rPr>
          <w:rFonts w:ascii="Arial" w:hAnsi="Arial"/>
          <w:b w:val="0"/>
          <w:i w:val="0"/>
          <w:sz w:val="20"/>
        </w:rPr>
        <w:t xml:space="preserve"> How can explanation evidence be certified, refused, escalated, and re-certified after prediction without suppressing the underlying network-classification alert?</w:t>
      </w:r>
    </w:p>
    <w:p w14:paraId="00100020" w14:textId="00100115">
      <w:pPr>
        <w:spacing w:before="0" w:after="100" w:line="259" w:lineRule="auto"/>
        <w:jc w:val="both"/>
      </w:pPr>
      <w:r>
        <w:rPr>
          <w:rFonts w:ascii="Arial" w:hAnsi="Arial"/>
          <w:b w:val="0"/>
          <w:i w:val="0"/>
          <w:sz w:val="20"/>
        </w:rPr>
        <w:t xml:space="preserve">RO1 is to implement a fixed-probe, adjacent-checkpoint protocol for the actual joint-cap class margin. RO2 is to compare registered OFRA decision arms and bounded encoder or classifier diagnostics without changing the primary method or mixing unmatched protocols. RO3 is to operate an offline ETG ledger whose state transitions and limitations are explicitly auditable.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80" w:type="dxa"/>
              <w:start w:w="120" w:type="dxa"/>
              <w:bottom w:w="80" w:type="dxa"/>
              <w:end w:w="120" w:type="dxa"/>
            </w:tcMar>
            <w:vAlign w:val="center"/>
          </w:tcPr>
          <w:p w14:paraId="0010002E" w14:textId="0010002F">
            <w:pPr>
              <w:spacing w:after="0"/>
              <w:jc w:val="center"/>
            </w:pPr>
            <w:r>
              <w:rPr>
                <w:rFonts w:ascii="Arial" w:hAnsi="Arial"/>
                <w:b/>
                <w:i w:val="0"/>
                <w:color w:val="0F2A43"/>
                <w:sz w:val="15"/>
              </w:rPr>
              <w:t>Study</w:t>
            </w:r>
          </w:p>
        </w:tc>
        <w:tc>
          <w:tcPr>
            <w:tcW w:w="2250" w:type="dxa"/>
            <w:shd w:val="clear" w:fill="EAF0F5"/>
            <w:tcMar>
              <w:top w:w="80" w:type="dxa"/>
              <w:start w:w="120" w:type="dxa"/>
              <w:bottom w:w="80" w:type="dxa"/>
              <w:end w:w="120" w:type="dxa"/>
            </w:tcMar>
            <w:vAlign w:val="center"/>
          </w:tcPr>
          <w:p w14:paraId="00100030" w14:textId="00100031">
            <w:pPr>
              <w:spacing w:after="0"/>
              <w:jc w:val="center"/>
            </w:pPr>
            <w:r>
              <w:rPr>
                <w:rFonts w:ascii="Arial" w:hAnsi="Arial"/>
                <w:b/>
                <w:i w:val="0"/>
                <w:color w:val="0F2A43"/>
                <w:sz w:val="15"/>
              </w:rPr>
              <w:t>Drift or trust trigger</w:t>
            </w:r>
          </w:p>
        </w:tc>
        <w:tc>
          <w:tcPr>
            <w:tcW w:w="1800" w:type="dxa"/>
            <w:shd w:val="clear" w:fill="EAF0F5"/>
            <w:tcMar>
              <w:top w:w="80" w:type="dxa"/>
              <w:start w:w="120" w:type="dxa"/>
              <w:bottom w:w="80" w:type="dxa"/>
              <w:end w:w="120" w:type="dxa"/>
            </w:tcMar>
            <w:vAlign w:val="center"/>
          </w:tcPr>
          <w:p w14:paraId="00100032" w14:textId="00100033">
            <w:pPr>
              <w:spacing w:after="0"/>
              <w:jc w:val="center"/>
            </w:pPr>
            <w:r>
              <w:rPr>
                <w:rFonts w:ascii="Arial" w:hAnsi="Arial"/>
                <w:b/>
                <w:i w:val="0"/>
                <w:color w:val="0F2A43"/>
                <w:sz w:val="15"/>
              </w:rPr>
              <w:t>IDS setting</w:t>
            </w:r>
          </w:p>
        </w:tc>
        <w:tc>
          <w:tcPr>
            <w:tcW w:w="3760" w:type="dxa"/>
            <w:shd w:val="clear" w:fill="EAF0F5"/>
            <w:tcMar>
              <w:top w:w="80" w:type="dxa"/>
              <w:start w:w="120" w:type="dxa"/>
              <w:bottom w:w="80" w:type="dxa"/>
              <w:end w:w="120" w:type="dxa"/>
            </w:tcMar>
            <w:vAlign w:val="center"/>
          </w:tcPr>
          <w:p w14:paraId="00100034" w14:textId="00100035">
            <w:pPr>
              <w:spacing w:after="0"/>
              <w:jc w:val="center"/>
            </w:pPr>
            <w:r>
              <w:rPr>
                <w:rFonts w:ascii="Arial" w:hAnsi="Arial"/>
                <w:b/>
                <w:i w:val="0"/>
                <w:color w:val="0F2A43"/>
                <w:sz w:val="15"/>
              </w:rPr>
              <w:t>Gap relative to this work</w:t>
            </w:r>
          </w:p>
        </w:tc>
      </w:tr>
      <w:tr>
        <w:tc>
          <w:tcPr>
            <w:tcW w:w="1550" w:type="dxa"/>
            <w:tcMar>
              <w:top w:w="80" w:type="dxa"/>
              <w:start w:w="120" w:type="dxa"/>
              <w:bottom w:w="80" w:type="dxa"/>
              <w:end w:w="120" w:type="dxa"/>
            </w:tcMar>
            <w:vAlign w:val="center"/>
          </w:tcPr>
          <w:p w14:paraId="00100036" w14:textId="00100037">
            <w:pPr>
              <w:spacing w:after="0"/>
              <w:jc w:val="left"/>
            </w:pPr>
            <w:r>
              <w:rPr>
                <w:rFonts w:ascii="Arial" w:hAnsi="Arial"/>
                <w:b w:val="0"/>
                <w:i w:val="0"/>
                <w:sz w:val="15"/>
              </w:rPr>
              <w:t>E2D2 (2026)</w:t>
            </w:r>
          </w:p>
        </w:tc>
        <w:tc>
          <w:tcPr>
            <w:tcW w:w="2250" w:type="dxa"/>
            <w:tcMar>
              <w:top w:w="80" w:type="dxa"/>
              <w:start w:w="120" w:type="dxa"/>
              <w:bottom w:w="80" w:type="dxa"/>
              <w:end w:w="120" w:type="dxa"/>
            </w:tcMar>
            <w:vAlign w:val="center"/>
          </w:tcPr>
          <w:p w14:paraId="00100038" w14:textId="00100039">
            <w:pPr>
              <w:spacing w:after="0"/>
              <w:jc w:val="center"/>
            </w:pPr>
            <w:r>
              <w:rPr>
                <w:rFonts w:ascii="Arial" w:hAnsi="Arial"/>
                <w:b w:val="0"/>
                <w:i w:val="0"/>
                <w:sz w:val="15"/>
              </w:rPr>
              <w:t>Unsupervised explanation-based drift</w:t>
            </w:r>
          </w:p>
        </w:tc>
        <w:tc>
          <w:tcPr>
            <w:tcW w:w="1800" w:type="dxa"/>
            <w:tcMar>
              <w:top w:w="80" w:type="dxa"/>
              <w:start w:w="120" w:type="dxa"/>
              <w:bottom w:w="80" w:type="dxa"/>
              <w:end w:w="120" w:type="dxa"/>
            </w:tcMar>
            <w:vAlign w:val="center"/>
          </w:tcPr>
          <w:p w14:paraId="0010003A" w14:textId="0010003B">
            <w:pPr>
              <w:spacing w:after="0"/>
              <w:jc w:val="center"/>
            </w:pPr>
            <w:r>
              <w:rPr>
                <w:rFonts w:ascii="Arial" w:hAnsi="Arial"/>
                <w:b w:val="0"/>
                <w:i w:val="0"/>
                <w:sz w:val="15"/>
              </w:rPr>
              <w:t>Unsupervised NIDS</w:t>
            </w:r>
          </w:p>
        </w:tc>
        <w:tc>
          <w:tcPr>
            <w:tcW w:w="3760" w:type="dxa"/>
            <w:tcMar>
              <w:top w:w="80" w:type="dxa"/>
              <w:start w:w="120" w:type="dxa"/>
              <w:bottom w:w="80" w:type="dxa"/>
              <w:end w:w="120" w:type="dxa"/>
            </w:tcMar>
            <w:vAlign w:val="center"/>
          </w:tcPr>
          <w:p w14:paraId="0010003C" w14:textId="0010003D">
            <w:pPr>
              <w:spacing w:after="0"/>
              <w:jc w:val="center"/>
            </w:pPr>
            <w:r>
              <w:rPr>
                <w:rFonts w:ascii="Arial" w:hAnsi="Arial"/>
                <w:b w:val="0"/>
                <w:i w:val="0"/>
                <w:sz w:val="15"/>
              </w:rPr>
              <w:t>Not legitimate class-incremental model updates; no ETG action ledger</w:t>
            </w:r>
          </w:p>
        </w:tc>
      </w:tr>
      <w:tr>
        <w:tc>
          <w:tcPr>
            <w:tcW w:w="1550" w:type="dxa"/>
            <w:tcMar>
              <w:top w:w="80" w:type="dxa"/>
              <w:start w:w="120" w:type="dxa"/>
              <w:bottom w:w="80" w:type="dxa"/>
              <w:end w:w="120" w:type="dxa"/>
            </w:tcMar>
            <w:vAlign w:val="center"/>
          </w:tcPr>
          <w:p w14:paraId="0010003E" w14:textId="0010003F">
            <w:pPr>
              <w:spacing w:after="0"/>
              <w:jc w:val="left"/>
            </w:pPr>
            <w:r>
              <w:rPr>
                <w:rFonts w:ascii="Arial" w:hAnsi="Arial"/>
                <w:b w:val="0"/>
                <w:i w:val="0"/>
                <w:sz w:val="15"/>
              </w:rPr>
              <w:t>Maseno et al. (2026)</w:t>
            </w:r>
          </w:p>
        </w:tc>
        <w:tc>
          <w:tcPr>
            <w:tcW w:w="2250" w:type="dxa"/>
            <w:tcMar>
              <w:top w:w="80" w:type="dxa"/>
              <w:start w:w="120" w:type="dxa"/>
              <w:bottom w:w="80" w:type="dxa"/>
              <w:end w:w="120" w:type="dxa"/>
            </w:tcMar>
            <w:vAlign w:val="center"/>
          </w:tcPr>
          <w:p w14:paraId="00100040" w14:textId="00100041">
            <w:pPr>
              <w:spacing w:after="0"/>
              <w:jc w:val="center"/>
            </w:pPr>
            <w:r>
              <w:rPr>
                <w:rFonts w:ascii="Arial" w:hAnsi="Arial"/>
                <w:b w:val="0"/>
                <w:i w:val="0"/>
                <w:sz w:val="15"/>
              </w:rPr>
              <w:t>Adversarial SHAP instability</w:t>
            </w:r>
          </w:p>
        </w:tc>
        <w:tc>
          <w:tcPr>
            <w:tcW w:w="1800" w:type="dxa"/>
            <w:tcMar>
              <w:top w:w="80" w:type="dxa"/>
              <w:start w:w="120" w:type="dxa"/>
              <w:bottom w:w="80" w:type="dxa"/>
              <w:end w:w="120" w:type="dxa"/>
            </w:tcMar>
            <w:vAlign w:val="center"/>
          </w:tcPr>
          <w:p w14:paraId="00100042" w14:textId="00100043">
            <w:pPr>
              <w:spacing w:after="0"/>
              <w:jc w:val="center"/>
            </w:pPr>
            <w:r>
              <w:rPr>
                <w:rFonts w:ascii="Arial" w:hAnsi="Arial"/>
                <w:b w:val="0"/>
                <w:i w:val="0"/>
                <w:sz w:val="15"/>
              </w:rPr>
              <w:t>Recurrent multiclass IDS</w:t>
            </w:r>
          </w:p>
        </w:tc>
        <w:tc>
          <w:tcPr>
            <w:tcW w:w="3760" w:type="dxa"/>
            <w:tcMar>
              <w:top w:w="80" w:type="dxa"/>
              <w:start w:w="120" w:type="dxa"/>
              <w:bottom w:w="80" w:type="dxa"/>
              <w:end w:w="120" w:type="dxa"/>
            </w:tcMar>
            <w:vAlign w:val="center"/>
          </w:tcPr>
          <w:p w14:paraId="00100044" w14:textId="00100045">
            <w:pPr>
              <w:spacing w:after="0"/>
              <w:jc w:val="center"/>
            </w:pPr>
            <w:r>
              <w:rPr>
                <w:rFonts w:ascii="Arial" w:hAnsi="Arial"/>
                <w:b w:val="0"/>
                <w:i w:val="0"/>
                <w:sz w:val="15"/>
              </w:rPr>
              <w:t>Adversarial trigger, not benign learning increments; no non-suppressing governance</w:t>
            </w:r>
          </w:p>
        </w:tc>
      </w:tr>
      <w:tr>
        <w:tc>
          <w:tcPr>
            <w:tcW w:w="1550" w:type="dxa"/>
            <w:tcMar>
              <w:top w:w="80" w:type="dxa"/>
              <w:start w:w="120" w:type="dxa"/>
              <w:bottom w:w="80" w:type="dxa"/>
              <w:end w:w="120" w:type="dxa"/>
            </w:tcMar>
            <w:vAlign w:val="center"/>
          </w:tcPr>
          <w:p w14:paraId="00100046" w14:textId="00100047">
            <w:pPr>
              <w:spacing w:after="0"/>
              <w:jc w:val="left"/>
            </w:pPr>
            <w:r>
              <w:rPr>
                <w:rFonts w:ascii="Arial" w:hAnsi="Arial"/>
                <w:b w:val="0"/>
                <w:i w:val="0"/>
                <w:sz w:val="15"/>
              </w:rPr>
              <w:t>Goncalves and Alomari (2026)</w:t>
            </w:r>
          </w:p>
        </w:tc>
        <w:tc>
          <w:tcPr>
            <w:tcW w:w="2250" w:type="dxa"/>
            <w:tcMar>
              <w:top w:w="80" w:type="dxa"/>
              <w:start w:w="120" w:type="dxa"/>
              <w:bottom w:w="80" w:type="dxa"/>
              <w:end w:w="120" w:type="dxa"/>
            </w:tcMar>
            <w:vAlign w:val="center"/>
          </w:tcPr>
          <w:p w14:paraId="00100048" w14:textId="00100049">
            <w:pPr>
              <w:spacing w:after="0"/>
              <w:jc w:val="center"/>
            </w:pPr>
            <w:r>
              <w:rPr>
                <w:rFonts w:ascii="Arial" w:hAnsi="Arial"/>
                <w:b w:val="0"/>
                <w:i w:val="0"/>
                <w:sz w:val="15"/>
              </w:rPr>
              <w:t>Human interpretation of SHAP/LIME</w:t>
            </w:r>
          </w:p>
        </w:tc>
        <w:tc>
          <w:tcPr>
            <w:tcW w:w="1800" w:type="dxa"/>
            <w:tcMar>
              <w:top w:w="80" w:type="dxa"/>
              <w:start w:w="120" w:type="dxa"/>
              <w:bottom w:w="80" w:type="dxa"/>
              <w:end w:w="120" w:type="dxa"/>
            </w:tcMar>
            <w:vAlign w:val="center"/>
          </w:tcPr>
          <w:p w14:paraId="0010004A" w14:textId="0010004B">
            <w:pPr>
              <w:spacing w:after="0"/>
              <w:jc w:val="center"/>
            </w:pPr>
            <w:r>
              <w:rPr>
                <w:rFonts w:ascii="Arial" w:hAnsi="Arial"/>
                <w:b w:val="0"/>
                <w:i w:val="0"/>
                <w:sz w:val="15"/>
              </w:rPr>
              <w:t>AWS GuardDuty</w:t>
            </w:r>
          </w:p>
        </w:tc>
        <w:tc>
          <w:tcPr>
            <w:tcW w:w="3760" w:type="dxa"/>
            <w:tcMar>
              <w:top w:w="80" w:type="dxa"/>
              <w:start w:w="120" w:type="dxa"/>
              <w:bottom w:w="80" w:type="dxa"/>
              <w:end w:w="120" w:type="dxa"/>
            </w:tcMar>
            <w:vAlign w:val="center"/>
          </w:tcPr>
          <w:p w14:paraId="0010004C" w14:textId="0010004D">
            <w:pPr>
              <w:spacing w:after="0"/>
              <w:jc w:val="center"/>
            </w:pPr>
            <w:r>
              <w:rPr>
                <w:rFonts w:ascii="Arial" w:hAnsi="Arial"/>
                <w:b w:val="0"/>
                <w:i w:val="0"/>
                <w:sz w:val="15"/>
              </w:rPr>
              <w:t>User study rather than longitudinal routed-score stability</w:t>
            </w:r>
          </w:p>
        </w:tc>
      </w:tr>
      <w:tr>
        <w:tc>
          <w:tcPr>
            <w:tcW w:w="1550" w:type="dxa"/>
            <w:tcMar>
              <w:top w:w="80" w:type="dxa"/>
              <w:start w:w="120" w:type="dxa"/>
              <w:bottom w:w="80" w:type="dxa"/>
              <w:end w:w="120" w:type="dxa"/>
            </w:tcMar>
            <w:vAlign w:val="center"/>
          </w:tcPr>
          <w:p w14:paraId="0010004E" w14:textId="0010004F">
            <w:pPr>
              <w:spacing w:after="0"/>
              <w:jc w:val="left"/>
            </w:pPr>
            <w:r>
              <w:rPr>
                <w:rFonts w:ascii="Arial" w:hAnsi="Arial"/>
                <w:b w:val="0"/>
                <w:i w:val="0"/>
                <w:sz w:val="15"/>
              </w:rPr>
              <w:t>Adabara et al. (2025)</w:t>
            </w:r>
          </w:p>
        </w:tc>
        <w:tc>
          <w:tcPr>
            <w:tcW w:w="2250" w:type="dxa"/>
            <w:tcMar>
              <w:top w:w="80" w:type="dxa"/>
              <w:start w:w="120" w:type="dxa"/>
              <w:bottom w:w="80" w:type="dxa"/>
              <w:end w:w="120" w:type="dxa"/>
            </w:tcMar>
            <w:vAlign w:val="center"/>
          </w:tcPr>
          <w:p w14:paraId="00100050" w14:textId="00100051">
            <w:pPr>
              <w:spacing w:after="0"/>
              <w:jc w:val="center"/>
            </w:pPr>
            <w:r>
              <w:rPr>
                <w:rFonts w:ascii="Arial" w:hAnsi="Arial"/>
                <w:b w:val="0"/>
                <w:i w:val="0"/>
                <w:sz w:val="15"/>
              </w:rPr>
              <w:t>Calibration, uncertainty, and SHAP</w:t>
            </w:r>
          </w:p>
        </w:tc>
        <w:tc>
          <w:tcPr>
            <w:tcW w:w="1800" w:type="dxa"/>
            <w:tcMar>
              <w:top w:w="80" w:type="dxa"/>
              <w:start w:w="120" w:type="dxa"/>
              <w:bottom w:w="80" w:type="dxa"/>
              <w:end w:w="120" w:type="dxa"/>
            </w:tcMar>
            <w:vAlign w:val="center"/>
          </w:tcPr>
          <w:p w14:paraId="00100052" w14:textId="00100053">
            <w:pPr>
              <w:spacing w:after="0"/>
              <w:jc w:val="center"/>
            </w:pPr>
            <w:r>
              <w:rPr>
                <w:rFonts w:ascii="Arial" w:hAnsi="Arial"/>
                <w:b w:val="0"/>
                <w:i w:val="0"/>
                <w:sz w:val="15"/>
              </w:rPr>
              <w:t>CICIDS2017</w:t>
            </w:r>
          </w:p>
        </w:tc>
        <w:tc>
          <w:tcPr>
            <w:tcW w:w="3760" w:type="dxa"/>
            <w:tcMar>
              <w:top w:w="80" w:type="dxa"/>
              <w:start w:w="120" w:type="dxa"/>
              <w:bottom w:w="80" w:type="dxa"/>
              <w:end w:w="120" w:type="dxa"/>
            </w:tcMar>
            <w:vAlign w:val="center"/>
          </w:tcPr>
          <w:p w14:paraId="00100054" w14:textId="00100055">
            <w:pPr>
              <w:spacing w:after="0"/>
              <w:jc w:val="center"/>
            </w:pPr>
            <w:r>
              <w:rPr>
                <w:rFonts w:ascii="Arial" w:hAnsi="Arial"/>
                <w:b w:val="0"/>
                <w:i w:val="0"/>
                <w:sz w:val="15"/>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t>Each dataset is preprocessed, trained, and evaluated independently; records from different datasets are never pooled. The current strict five-seed prediction table uses seeds 1, 2, 3, 4, and 42. NSL-KDD, UNSW-NB15, and CIC-IDS-2017 use FT-Transformer 256x4, whereas MalayaNetwork_GT uses FT-Transformer 512x12. The rows are therefore dataset-specific audits rather than a capacity-matched pooled comparison. Malaya is an application-traffic dataset rather than an intrusion-detection benchmark. A protocol-separated CIC-IDS-2018 FT256x4 closure exists under a shorter 1+1-epoch schedule; the current stricter 8+10-epoch campaign remains in progress and is excluded from the headline table.</w:t>
      </w:r>
    </w:p>
    <w:p w14:paraId="00100060" w14:textId="001001A3">
      <w:pPr>
        <w:spacing w:before="0" w:after="100" w:line="259" w:lineRule="auto"/>
        <w:jc w:val="both"/>
      </w:pPr>
      <w:r>
        <w:rPr>
          <w:rFonts w:ascii="Arial" w:hAnsi="Arial"/>
          <w:b w:val="0"/>
          <w:i w:val="0"/>
          <w:sz w:val="20"/>
        </w:rPr>
        <w:t xml:space="preserve">Dataset-specific preprocessing removes identifiers, normalises labels, converts features to finite numerical arrays, fixes feature and class order, and constructs class-by-split shards. NSL-KDD retains its official train/test files and produces 122 features; UNSW-NB15 likewise retains its official files and produces 194 features.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 xml:space="preserve">The code/data no-look-ahead audit confirms that numerical standardisation reads only Task-0 training shards, freezes before pretraining, and rejects later updates. It also finds a bounded transductive categorical-schema limitation: relative to Task-0-only vocabularies, NSL-KDD has six future-only one-hot columns affecting 115 of 12,703 later-task rows (0.905%), and UNSW-NB15 has eight affecting 712 of 79,341 rows (0.897%). This is neither official-test leakage nor future-label training, but the affected preprocessing contracts are not strictly no-look-ahead.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pPr>
      <w:r>
        <w:t>3.3 Training, metrics, and statistical boundary</w:t>
      </w:r>
    </w:p>
    <w:p w14:paraId="00100070" w14:textId="0010011E">
      <w:pPr>
        <w:spacing w:before="0" w:after="100" w:line="259" w:lineRule="auto"/>
        <w:jc w:val="both"/>
      </w:pPr>
      <w: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t>For adjacent checkpoints, top-feature overlap is J(A,B)=|A intersection B|/|A union B|.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1A5">
      <w:pPr>
        <w:spacing w:before="0" w:after="100" w:line="259" w:lineRule="auto"/>
        <w:jc w:val="both"/>
      </w:pPr>
      <w:r>
        <w:rPr>
          <w:rFonts w:ascii="Arial" w:hAnsi="Arial"/>
          <w:b w:val="0"/>
          <w:i w:val="0"/>
          <w:sz w:val="20"/>
        </w:rPr>
        <w:t xml:space="preserve">The source-bound robustness pilot uses the same Malaya seed-1 checkpoints, fixed probes, joint-cap-3000 class margin, top-15 rule, random-control admission threshold, and ETG state machine. Its three primary rankings are Expected Gradients, single-feature ablation to the frozen checkpoint mean, and Gradient x Input. Pairwise top-15 Jaccard, admission agreement, ETG-state agreement, and transition-level silent-drift agreement are reported. Integrated Gradients were also attempted with a Task-0 mean baseline and 16-point Gauss-Legendre quadrature, but its completeness check failed on the piecewise routed score; it is retained as a numerical diagnostic and excluded from primary agreement claims. This design measures method dependence rather than assuming that any explainer is uniquely correct.</w:t>
      </w:r>
    </w:p>
    <w:p w14:paraId="001001A6" w14:textId="001001A7">
      <w:pPr>
        <w:pStyle w:val="Heading2"/>
      </w:pPr>
      <w:r>
        <w:rPr/>
        <w:t xml:space="preserve">3.8 No-look-ahead audit protocol</w:t>
      </w:r>
    </w:p>
    <w:p w14:paraId="001001A8" w14:textId="001001A9">
      <w:pPr>
        <w:spacing w:after="100"/>
        <w:jc w:val="both"/>
      </w:pPr>
      <w:r>
        <w:rPr/>
        <w:t xml:space="preserve">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14:paraId="00100080" w14:textId="00100081">
      <w:pPr>
        <w:pStyle w:val="Heading1"/>
        <w:keepNext/>
      </w:pPr>
      <w:r>
        <w:t>4. Results</w:t>
      </w:r>
    </w:p>
    <w:p w14:paraId="00100082" w14:textId="00100083">
      <w:pPr>
        <w:pStyle w:val="Heading2"/>
        <w:keepNext/>
      </w:pPr>
      <w:r>
        <w:t>4.1 RQ1: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t>The high event proportion shows that stable predictive evidence under the chosen tolerance does not guarantee stable top-feature membership. It does not establish that the model became unsafe, that the explanation was wrong, or that 70.59% of network flows drifted. A single-seed sensitivity grid over top-k {10, 15, 20}, Jaccard thresholds {0.6, 0.7, 0.8}, and allowed class-recall drops {2, 5, 10} percentage points confirms that the event rate is threshold-sensitive. The tolerance is class recall, not overall accuracy, and the grid does not establish a universal threshold.</w:t>
      </w:r>
    </w:p>
    <w:p w14:paraId="001001AA" w14:textId="001001AB">
      <w:pPr>
        <w:pStyle w:val="Heading2"/>
      </w:pPr>
      <w:r>
        <w:rPr/>
        <w:t xml:space="preserve">4.2 RQ1: Attribution-method robustness</w:t>
      </w:r>
    </w:p>
    <w:p w14:paraId="001001AC" w14:textId="001001B7">
      <w:pPr>
        <w:spacing w:after="100"/>
        <w:jc w:val="both"/>
      </w:pPr>
      <w:r>
        <w:rPr/>
        <w:t xml:space="preserve">The three primary methods agree on admission for 40.0% of 30 checkpoint-class rows, on ETG state for 43.3%, and on the silent-drift conclusion for 20.0% of 20 adjacent class transitions. Pairwise mean top-15 Jaccard ranges from 0.380 to 0.567. Expected Gradients reports 12/17 silent-drift events, feature ablation 0/17, and Gradient x Input 7/17. The result bounds rather than removes attribution dependence: ETG outcomes are method-conditioned, and the registered Expected-Gradients result is not treated as uniquely correct.</w:t>
      </w:r>
    </w:p>
    <w:p w14:paraId="001001EA" w14:textId="001001EB">
      <w:pPr>
        <w:pStyle w:val="Caption"/>
      </w:pPr>
      <w:r>
        <w:rPr/>
        <w:t xml:space="preserve">Table 2. Attribution-method agreement on the source-bound Malaya seed-1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B8" w14:textId="001001F0">
            <w:pPr>
              <w:jc w:val="center"/>
            </w:pPr>
            <w:r>
              <w:rPr>
                <w:b/>
                <w:color w:val="0F2A43"/>
                <w:sz w:val="15"/>
              </w:rPr>
              <w:t xml:space="preserve">Pair</w:t>
            </w:r>
          </w:p>
        </w:tc>
        <w:tc>
          <w:tcPr>
            <w:shd w:val="clear" w:fill="EAF0F5"/>
          </w:tcPr>
          <w:p w14:paraId="001001BA" w14:textId="001001F1">
            <w:pPr>
              <w:jc w:val="center"/>
            </w:pPr>
            <w:r>
              <w:rPr>
                <w:b/>
                <w:color w:val="0F2A43"/>
                <w:sz w:val="15"/>
              </w:rPr>
              <w:t xml:space="preserve">Top-15 Jaccard</w:t>
            </w:r>
          </w:p>
        </w:tc>
        <w:tc>
          <w:tcPr>
            <w:shd w:val="clear" w:fill="EAF0F5"/>
          </w:tcPr>
          <w:p w14:paraId="001001BC" w14:textId="001001F2">
            <w:pPr>
              <w:jc w:val="center"/>
            </w:pPr>
            <w:r>
              <w:rPr>
                <w:b/>
                <w:color w:val="0F2A43"/>
                <w:sz w:val="15"/>
              </w:rPr>
              <w:t xml:space="preserve">Admission</w:t>
            </w:r>
          </w:p>
        </w:tc>
        <w:tc>
          <w:tcPr>
            <w:shd w:val="clear" w:fill="EAF0F5"/>
          </w:tcPr>
          <w:p w14:paraId="001001BE" w14:textId="001001F3">
            <w:pPr>
              <w:jc w:val="center"/>
            </w:pPr>
            <w:r>
              <w:rPr>
                <w:b/>
                <w:color w:val="0F2A43"/>
                <w:sz w:val="15"/>
              </w:rPr>
              <w:t xml:space="preserve">ETG state</w:t>
            </w:r>
          </w:p>
        </w:tc>
        <w:tc>
          <w:tcPr>
            <w:shd w:val="clear" w:fill="EAF0F5"/>
          </w:tcPr>
          <w:p w14:paraId="001001C0" w14:textId="001001F4">
            <w:pPr>
              <w:jc w:val="center"/>
            </w:pPr>
            <w:r>
              <w:rPr>
                <w:b/>
                <w:color w:val="0F2A43"/>
                <w:sz w:val="15"/>
              </w:rPr>
              <w:t xml:space="preserve">Drift event</w:t>
            </w:r>
          </w:p>
        </w:tc>
      </w:tr>
      <w:tr>
        <w:trPr/>
        <w:tc>
          <w:p w14:paraId="001001C2" w14:textId="001001F5">
            <w:pPr/>
            <w:r>
              <w:rPr>
                <w:sz w:val="15"/>
              </w:rPr>
              <w:t xml:space="preserve">Expected vs ablation</w:t>
            </w:r>
          </w:p>
        </w:tc>
        <w:tc>
          <w:p w14:paraId="001001C4" w14:textId="001001F6">
            <w:pPr>
              <w:jc w:val="center"/>
            </w:pPr>
            <w:r>
              <w:rPr>
                <w:sz w:val="15"/>
              </w:rPr>
              <w:t xml:space="preserve">0.567</w:t>
            </w:r>
          </w:p>
        </w:tc>
        <w:tc>
          <w:p w14:paraId="001001C6" w14:textId="001001F7">
            <w:pPr>
              <w:jc w:val="center"/>
            </w:pPr>
            <w:r>
              <w:rPr>
                <w:sz w:val="15"/>
              </w:rPr>
              <w:t xml:space="preserve">56.7%</w:t>
            </w:r>
          </w:p>
        </w:tc>
        <w:tc>
          <w:p w14:paraId="001001C8" w14:textId="001001F8">
            <w:pPr>
              <w:jc w:val="center"/>
            </w:pPr>
            <w:r>
              <w:rPr>
                <w:sz w:val="15"/>
              </w:rPr>
              <w:t xml:space="preserve">60.0%</w:t>
            </w:r>
          </w:p>
        </w:tc>
        <w:tc>
          <w:p w14:paraId="001001CA" w14:textId="001001F9">
            <w:pPr>
              <w:jc w:val="center"/>
            </w:pPr>
            <w:r>
              <w:rPr>
                <w:sz w:val="15"/>
              </w:rPr>
              <w:t xml:space="preserve">40.0%</w:t>
            </w:r>
          </w:p>
        </w:tc>
      </w:tr>
      <w:tr>
        <w:trPr/>
        <w:tc>
          <w:p w14:paraId="001001CC" w14:textId="001001FA">
            <w:pPr/>
            <w:r>
              <w:rPr>
                <w:sz w:val="15"/>
              </w:rPr>
              <w:t xml:space="preserve">Expected vs Grad x Input</w:t>
            </w:r>
          </w:p>
        </w:tc>
        <w:tc>
          <w:p w14:paraId="001001CE" w14:textId="001001FB">
            <w:pPr>
              <w:jc w:val="center"/>
            </w:pPr>
            <w:r>
              <w:rPr>
                <w:sz w:val="15"/>
              </w:rPr>
              <w:t xml:space="preserve">0.380</w:t>
            </w:r>
          </w:p>
        </w:tc>
        <w:tc>
          <w:p w14:paraId="001001D0" w14:textId="001001FC">
            <w:pPr>
              <w:jc w:val="center"/>
            </w:pPr>
            <w:r>
              <w:rPr>
                <w:sz w:val="15"/>
              </w:rPr>
              <w:t xml:space="preserve">63.3%</w:t>
            </w:r>
          </w:p>
        </w:tc>
        <w:tc>
          <w:p w14:paraId="001001D2" w14:textId="001001FD">
            <w:pPr>
              <w:jc w:val="center"/>
            </w:pPr>
            <w:r>
              <w:rPr>
                <w:sz w:val="15"/>
              </w:rPr>
              <w:t xml:space="preserve">60.0%</w:t>
            </w:r>
          </w:p>
        </w:tc>
        <w:tc>
          <w:p w14:paraId="001001D4" w14:textId="001001FE">
            <w:pPr>
              <w:jc w:val="center"/>
            </w:pPr>
            <w:r>
              <w:rPr>
                <w:sz w:val="15"/>
              </w:rPr>
              <w:t xml:space="preserve">35.0%</w:t>
            </w:r>
          </w:p>
        </w:tc>
      </w:tr>
      <w:tr>
        <w:trPr/>
        <w:tc>
          <w:p w14:paraId="001001D6" w14:textId="001001FF">
            <w:pPr/>
            <w:r>
              <w:rPr>
                <w:sz w:val="15"/>
              </w:rPr>
              <w:t xml:space="preserve">Ablation vs Grad x Input</w:t>
            </w:r>
          </w:p>
        </w:tc>
        <w:tc>
          <w:p w14:paraId="001001D8" w14:textId="00100200">
            <w:pPr>
              <w:jc w:val="center"/>
            </w:pPr>
            <w:r>
              <w:rPr>
                <w:sz w:val="15"/>
              </w:rPr>
              <w:t xml:space="preserve">0.405</w:t>
            </w:r>
          </w:p>
        </w:tc>
        <w:tc>
          <w:p w14:paraId="001001DA" w14:textId="00100201">
            <w:pPr>
              <w:jc w:val="center"/>
            </w:pPr>
            <w:r>
              <w:rPr>
                <w:sz w:val="15"/>
              </w:rPr>
              <w:t xml:space="preserve">60.0%</w:t>
            </w:r>
          </w:p>
        </w:tc>
        <w:tc>
          <w:p w14:paraId="001001DC" w14:textId="00100202">
            <w:pPr>
              <w:jc w:val="center"/>
            </w:pPr>
            <w:r>
              <w:rPr>
                <w:sz w:val="15"/>
              </w:rPr>
              <w:t xml:space="preserve">56.7%</w:t>
            </w:r>
          </w:p>
        </w:tc>
        <w:tc>
          <w:p w14:paraId="001001DE" w14:textId="00100203">
            <w:pPr>
              <w:jc w:val="center"/>
            </w:pPr>
            <w:r>
              <w:rPr>
                <w:sz w:val="15"/>
              </w:rPr>
              <w:t xml:space="preserve">65.0%</w:t>
            </w:r>
          </w:p>
        </w:tc>
      </w:tr>
    </w:tbl>
    <w:p w14:paraId="001001EC" w14:textId="001001ED">
      <w:pPr>
        <w:spacing w:after="100"/>
        <w:jc w:val="both"/>
      </w:pPr>
      <w:r>
        <w:rPr/>
        <w:t xml:space="preserve">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 xml:space="preserve">4.3 RQ2: Predictive performance and retention</w:t>
      </w:r>
    </w:p>
    <w:p w14:paraId="0010008A" w14:textId="0010008B">
      <w:pPr>
        <w:jc w:val="center"/>
      </w:pPr>
      <w:r>
        <w:drawing>
          <wp:inline>
            <wp:extent cx="6035040" cy="1949782"/>
            <wp:docPr id="4" name="Picture 4"/>
            <wp:cNvGraphicFramePr>
              <a:graphicFrameLocks noChangeAspect="1"/>
            </wp:cNvGraphicFramePr>
            <a:graphic>
              <a:graphicData uri="http://schemas.openxmlformats.org/drawingml/2006/picture">
                <pic:pic>
                  <pic:nvPicPr>
                    <pic:cNvPr id="0" name="current_four_dataset_comparison.png"/>
                    <pic:cNvPicPr/>
                  </pic:nvPicPr>
                  <pic:blipFill>
                    <a:blip r:embed="rId14"/>
                    <a:stretch>
                      <a:fillRect/>
                    </a:stretch>
                  </pic:blipFill>
                  <pic:spPr>
                    <a:xfrm>
                      <a:off x="0" y="0"/>
                      <a:ext cx="6035040" cy="1949782"/>
                    </a:xfrm>
                    <a:prstGeom prst="rect"/>
                  </pic:spPr>
                </pic:pic>
              </a:graphicData>
            </a:graphic>
          </wp:inline>
        </w:drawing>
      </w:r>
    </w:p>
    <w:p w14:paraId="0010008C" w14:textId="0010008D">
      <w:pPr>
        <w:spacing w:before="80" w:after="120"/>
        <w:jc w:val="center"/>
      </w:pPr>
      <w:r>
        <w:t>Figure 2. Head-only versus joint-cap current strict five-seed means. Capacities are disclosed by dataset and are not pooled.</w:t>
      </w:r>
    </w:p>
    <w:p w14:paraId="0010008E" w14:textId="001001EE">
      <w:pPr>
        <w:spacing w:before="80" w:after="120"/>
        <w:jc w:val="center"/>
      </w:pPr>
      <w:r>
        <w:t>Table 3.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80" w:type="dxa"/>
              <w:start w:w="120" w:type="dxa"/>
              <w:bottom w:w="80" w:type="dxa"/>
              <w:end w:w="120" w:type="dxa"/>
            </w:tcMar>
            <w:vAlign w:val="center"/>
          </w:tcPr>
          <w:p>
            <w:pPr>
              <w:spacing w:after="0"/>
            </w:pPr>
            <w:r>
              <w:rPr>
                <w:sz w:val="16"/>
              </w:rPr>
              <w:t>Dataset / model</w:t>
            </w:r>
          </w:p>
        </w:tc>
        <w:tc>
          <w:tcPr>
            <w:tcW w:w="1350" w:type="dxa"/>
            <w:shd w:val="clear" w:fill="EAF0F5"/>
            <w:tcMar>
              <w:top w:w="80" w:type="dxa"/>
              <w:start w:w="120" w:type="dxa"/>
              <w:bottom w:w="80" w:type="dxa"/>
              <w:end w:w="120" w:type="dxa"/>
            </w:tcMar>
            <w:vAlign w:val="center"/>
          </w:tcPr>
          <w:p>
            <w:pPr>
              <w:spacing w:after="0"/>
            </w:pPr>
            <w:r>
              <w:rPr>
                <w:sz w:val="16"/>
              </w:rPr>
              <w:t>Arm</w:t>
            </w:r>
          </w:p>
        </w:tc>
        <w:tc>
          <w:tcPr>
            <w:tcW w:w="1650" w:type="dxa"/>
            <w:shd w:val="clear" w:fill="EAF0F5"/>
            <w:tcMar>
              <w:top w:w="80" w:type="dxa"/>
              <w:start w:w="120" w:type="dxa"/>
              <w:bottom w:w="80" w:type="dxa"/>
              <w:end w:w="120" w:type="dxa"/>
            </w:tcMar>
            <w:vAlign w:val="center"/>
          </w:tcPr>
          <w:p>
            <w:pPr>
              <w:spacing w:after="0"/>
            </w:pPr>
            <w:r>
              <w:rPr>
                <w:sz w:val="16"/>
              </w:rPr>
              <w:t>Accuracy</w:t>
            </w:r>
          </w:p>
        </w:tc>
        <w:tc>
          <w:tcPr>
            <w:tcW w:w="1650" w:type="dxa"/>
            <w:shd w:val="clear" w:fill="EAF0F5"/>
            <w:tcMar>
              <w:top w:w="80" w:type="dxa"/>
              <w:start w:w="120" w:type="dxa"/>
              <w:bottom w:w="80" w:type="dxa"/>
              <w:end w:w="120" w:type="dxa"/>
            </w:tcMar>
            <w:vAlign w:val="center"/>
          </w:tcPr>
          <w:p>
            <w:pPr>
              <w:spacing w:after="0"/>
            </w:pPr>
            <w:r>
              <w:rPr>
                <w:sz w:val="16"/>
              </w:rPr>
              <w:t>Macro-F1</w:t>
            </w:r>
          </w:p>
        </w:tc>
        <w:tc>
          <w:tcPr>
            <w:tcW w:w="1700" w:type="dxa"/>
            <w:shd w:val="clear" w:fill="EAF0F5"/>
            <w:tcMar>
              <w:top w:w="80" w:type="dxa"/>
              <w:start w:w="120" w:type="dxa"/>
              <w:bottom w:w="80" w:type="dxa"/>
              <w:end w:w="120" w:type="dxa"/>
            </w:tcMar>
            <w:vAlign w:val="center"/>
          </w:tcPr>
          <w:p>
            <w:pPr>
              <w:spacing w:after="0"/>
            </w:pPr>
            <w:r>
              <w:rPr>
                <w:sz w:val="16"/>
              </w:rPr>
              <w:t>Balanced acc.</w:t>
            </w:r>
          </w:p>
        </w:tc>
        <w:tc>
          <w:tcPr>
            <w:tcW w:w="1710" w:type="dxa"/>
            <w:shd w:val="clear" w:fill="EAF0F5"/>
            <w:tcMar>
              <w:top w:w="80" w:type="dxa"/>
              <w:start w:w="120" w:type="dxa"/>
              <w:bottom w:w="80" w:type="dxa"/>
              <w:end w:w="120" w:type="dxa"/>
            </w:tcMar>
            <w:vAlign w:val="center"/>
          </w:tcPr>
          <w:p>
            <w:pPr>
              <w:spacing w:after="0"/>
            </w:pPr>
            <w:r>
              <w:rPr>
                <w:sz w:val="16"/>
              </w:rPr>
              <w:t>Forgetting</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56.29</w:t>
            </w:r>
          </w:p>
        </w:tc>
        <w:tc>
          <w:tcPr>
            <w:tcW w:w="1650" w:type="dxa"/>
            <w:tcMar>
              <w:top w:w="80" w:type="dxa"/>
              <w:start w:w="120" w:type="dxa"/>
              <w:bottom w:w="80" w:type="dxa"/>
              <w:end w:w="120" w:type="dxa"/>
            </w:tcMar>
            <w:vAlign w:val="center"/>
          </w:tcPr>
          <w:p>
            <w:pPr>
              <w:spacing w:after="0"/>
            </w:pPr>
            <w:r>
              <w:rPr>
                <w:sz w:val="16"/>
              </w:rPr>
              <w:t>31.08</w:t>
            </w:r>
          </w:p>
        </w:tc>
        <w:tc>
          <w:tcPr>
            <w:tcW w:w="1700" w:type="dxa"/>
            <w:tcMar>
              <w:top w:w="80" w:type="dxa"/>
              <w:start w:w="120" w:type="dxa"/>
              <w:bottom w:w="80" w:type="dxa"/>
              <w:end w:w="120" w:type="dxa"/>
            </w:tcMar>
            <w:vAlign w:val="center"/>
          </w:tcPr>
          <w:p>
            <w:pPr>
              <w:spacing w:after="0"/>
            </w:pPr>
            <w:r>
              <w:rPr>
                <w:sz w:val="16"/>
              </w:rPr>
              <w:t>36.48</w:t>
            </w:r>
          </w:p>
        </w:tc>
        <w:tc>
          <w:tcPr>
            <w:tcW w:w="1710" w:type="dxa"/>
            <w:tcMar>
              <w:top w:w="80" w:type="dxa"/>
              <w:start w:w="120" w:type="dxa"/>
              <w:bottom w:w="80" w:type="dxa"/>
              <w:end w:w="120" w:type="dxa"/>
            </w:tcMar>
            <w:vAlign w:val="center"/>
          </w:tcPr>
          <w:p>
            <w:pPr>
              <w:spacing w:after="0"/>
            </w:pPr>
            <w:r>
              <w:rPr>
                <w:sz w:val="16"/>
              </w:rPr>
              <w:t>8.14 pp</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71.56</w:t>
            </w:r>
          </w:p>
        </w:tc>
        <w:tc>
          <w:tcPr>
            <w:tcW w:w="1650" w:type="dxa"/>
            <w:tcMar>
              <w:top w:w="80" w:type="dxa"/>
              <w:start w:w="120" w:type="dxa"/>
              <w:bottom w:w="80" w:type="dxa"/>
              <w:end w:w="120" w:type="dxa"/>
            </w:tcMar>
            <w:vAlign w:val="center"/>
          </w:tcPr>
          <w:p>
            <w:pPr>
              <w:spacing w:after="0"/>
            </w:pPr>
            <w:r>
              <w:rPr>
                <w:sz w:val="16"/>
              </w:rPr>
              <w:t>41.46</w:t>
            </w:r>
          </w:p>
        </w:tc>
        <w:tc>
          <w:tcPr>
            <w:tcW w:w="1700" w:type="dxa"/>
            <w:tcMar>
              <w:top w:w="80" w:type="dxa"/>
              <w:start w:w="120" w:type="dxa"/>
              <w:bottom w:w="80" w:type="dxa"/>
              <w:end w:w="120" w:type="dxa"/>
            </w:tcMar>
            <w:vAlign w:val="center"/>
          </w:tcPr>
          <w:p>
            <w:pPr>
              <w:spacing w:after="0"/>
            </w:pPr>
            <w:r>
              <w:rPr>
                <w:sz w:val="16"/>
              </w:rPr>
              <w:t>42.25</w:t>
            </w:r>
          </w:p>
        </w:tc>
        <w:tc>
          <w:tcPr>
            <w:tcW w:w="1710" w:type="dxa"/>
            <w:tcMar>
              <w:top w:w="80" w:type="dxa"/>
              <w:start w:w="120" w:type="dxa"/>
              <w:bottom w:w="80" w:type="dxa"/>
              <w:end w:w="120" w:type="dxa"/>
            </w:tcMar>
            <w:vAlign w:val="center"/>
          </w:tcPr>
          <w:p>
            <w:pPr>
              <w:spacing w:after="0"/>
            </w:pPr>
            <w:r>
              <w:rPr>
                <w:sz w:val="16"/>
              </w:rPr>
              <w:t>1.60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68.78</w:t>
            </w:r>
          </w:p>
        </w:tc>
        <w:tc>
          <w:tcPr>
            <w:tcW w:w="1650" w:type="dxa"/>
            <w:tcMar>
              <w:top w:w="80" w:type="dxa"/>
              <w:start w:w="120" w:type="dxa"/>
              <w:bottom w:w="80" w:type="dxa"/>
              <w:end w:w="120" w:type="dxa"/>
            </w:tcMar>
            <w:vAlign w:val="center"/>
          </w:tcPr>
          <w:p>
            <w:pPr>
              <w:spacing w:after="0"/>
            </w:pPr>
            <w:r>
              <w:rPr>
                <w:sz w:val="16"/>
              </w:rPr>
              <w:t>21.16</w:t>
            </w:r>
          </w:p>
        </w:tc>
        <w:tc>
          <w:tcPr>
            <w:tcW w:w="1700" w:type="dxa"/>
            <w:tcMar>
              <w:top w:w="80" w:type="dxa"/>
              <w:start w:w="120" w:type="dxa"/>
              <w:bottom w:w="80" w:type="dxa"/>
              <w:end w:w="120" w:type="dxa"/>
            </w:tcMar>
            <w:vAlign w:val="center"/>
          </w:tcPr>
          <w:p>
            <w:pPr>
              <w:spacing w:after="0"/>
            </w:pPr>
            <w:r>
              <w:rPr>
                <w:sz w:val="16"/>
              </w:rPr>
              <w:t>23.52</w:t>
            </w:r>
          </w:p>
        </w:tc>
        <w:tc>
          <w:tcPr>
            <w:tcW w:w="1710" w:type="dxa"/>
            <w:tcMar>
              <w:top w:w="80" w:type="dxa"/>
              <w:start w:w="120" w:type="dxa"/>
              <w:bottom w:w="80" w:type="dxa"/>
              <w:end w:w="120" w:type="dxa"/>
            </w:tcMar>
            <w:vAlign w:val="center"/>
          </w:tcPr>
          <w:p>
            <w:pPr>
              <w:spacing w:after="0"/>
            </w:pPr>
            <w:r>
              <w:rPr>
                <w:sz w:val="16"/>
              </w:rPr>
              <w:t>2.68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61.95</w:t>
            </w:r>
          </w:p>
        </w:tc>
        <w:tc>
          <w:tcPr>
            <w:tcW w:w="1650" w:type="dxa"/>
            <w:tcMar>
              <w:top w:w="80" w:type="dxa"/>
              <w:start w:w="120" w:type="dxa"/>
              <w:bottom w:w="80" w:type="dxa"/>
              <w:end w:w="120" w:type="dxa"/>
            </w:tcMar>
            <w:vAlign w:val="center"/>
          </w:tcPr>
          <w:p>
            <w:pPr>
              <w:spacing w:after="0"/>
            </w:pPr>
            <w:r>
              <w:rPr>
                <w:sz w:val="16"/>
              </w:rPr>
              <w:t>23.50</w:t>
            </w:r>
          </w:p>
        </w:tc>
        <w:tc>
          <w:tcPr>
            <w:tcW w:w="1700" w:type="dxa"/>
            <w:tcMar>
              <w:top w:w="80" w:type="dxa"/>
              <w:start w:w="120" w:type="dxa"/>
              <w:bottom w:w="80" w:type="dxa"/>
              <w:end w:w="120" w:type="dxa"/>
            </w:tcMar>
            <w:vAlign w:val="center"/>
          </w:tcPr>
          <w:p>
            <w:pPr>
              <w:spacing w:after="0"/>
            </w:pPr>
            <w:r>
              <w:rPr>
                <w:sz w:val="16"/>
              </w:rPr>
              <w:t>28.45</w:t>
            </w:r>
          </w:p>
        </w:tc>
        <w:tc>
          <w:tcPr>
            <w:tcW w:w="1710" w:type="dxa"/>
            <w:tcMar>
              <w:top w:w="80" w:type="dxa"/>
              <w:start w:w="120" w:type="dxa"/>
              <w:bottom w:w="80" w:type="dxa"/>
              <w:end w:w="120" w:type="dxa"/>
            </w:tcMar>
            <w:vAlign w:val="center"/>
          </w:tcPr>
          <w:p>
            <w:pPr>
              <w:spacing w:after="0"/>
            </w:pPr>
            <w:r>
              <w:rPr>
                <w:sz w:val="16"/>
              </w:rPr>
              <w:t>8.97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Head only</w:t>
            </w:r>
          </w:p>
        </w:tc>
        <w:tc>
          <w:tcPr>
            <w:tcW w:type="dxa" w:w="1650"/>
            <w:vAlign w:val="center"/>
          </w:tcPr>
          <w:p>
            <w:pPr>
              <w:spacing w:after="0"/>
            </w:pPr>
            <w:r>
              <w:rPr>
                <w:sz w:val="16"/>
              </w:rPr>
              <w:t>64.59</w:t>
            </w:r>
          </w:p>
        </w:tc>
        <w:tc>
          <w:tcPr>
            <w:tcW w:type="dxa" w:w="1650"/>
            <w:vAlign w:val="center"/>
          </w:tcPr>
          <w:p>
            <w:pPr>
              <w:spacing w:after="0"/>
            </w:pPr>
            <w:r>
              <w:rPr>
                <w:sz w:val="16"/>
              </w:rPr>
              <w:t>21.25</w:t>
            </w:r>
          </w:p>
        </w:tc>
        <w:tc>
          <w:tcPr>
            <w:tcW w:type="dxa" w:w="1700"/>
            <w:vAlign w:val="center"/>
          </w:tcPr>
          <w:p>
            <w:pPr>
              <w:spacing w:after="0"/>
            </w:pPr>
            <w:r>
              <w:rPr>
                <w:sz w:val="16"/>
              </w:rPr>
              <w:t>25.91</w:t>
            </w:r>
          </w:p>
        </w:tc>
        <w:tc>
          <w:tcPr>
            <w:tcW w:type="dxa" w:w="1710"/>
            <w:vAlign w:val="center"/>
          </w:tcPr>
          <w:p>
            <w:pPr>
              <w:spacing w:after="0"/>
            </w:pPr>
            <w:r>
              <w:rPr>
                <w:sz w:val="16"/>
              </w:rPr>
              <w:t>9.04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Joint cap</w:t>
            </w:r>
          </w:p>
        </w:tc>
        <w:tc>
          <w:tcPr>
            <w:tcW w:type="dxa" w:w="1650"/>
            <w:vAlign w:val="center"/>
          </w:tcPr>
          <w:p>
            <w:pPr>
              <w:spacing w:after="0"/>
            </w:pPr>
            <w:r>
              <w:rPr>
                <w:sz w:val="16"/>
              </w:rPr>
              <w:t>72.57</w:t>
            </w:r>
          </w:p>
        </w:tc>
        <w:tc>
          <w:tcPr>
            <w:tcW w:type="dxa" w:w="1650"/>
            <w:vAlign w:val="center"/>
          </w:tcPr>
          <w:p>
            <w:pPr>
              <w:spacing w:after="0"/>
            </w:pPr>
            <w:r>
              <w:rPr>
                <w:sz w:val="16"/>
              </w:rPr>
              <w:t>36.95</w:t>
            </w:r>
          </w:p>
        </w:tc>
        <w:tc>
          <w:tcPr>
            <w:tcW w:type="dxa" w:w="1700"/>
            <w:vAlign w:val="center"/>
          </w:tcPr>
          <w:p>
            <w:pPr>
              <w:spacing w:after="0"/>
            </w:pPr>
            <w:r>
              <w:rPr>
                <w:sz w:val="16"/>
              </w:rPr>
              <w:t>63.13</w:t>
            </w:r>
          </w:p>
        </w:tc>
        <w:tc>
          <w:tcPr>
            <w:tcW w:type="dxa" w:w="1710"/>
            <w:vAlign w:val="center"/>
          </w:tcPr>
          <w:p>
            <w:pPr>
              <w:spacing w:after="0"/>
            </w:pPr>
            <w:r>
              <w:rPr>
                <w:sz w:val="16"/>
              </w:rPr>
              <w:t>9.63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Head only</w:t>
            </w:r>
          </w:p>
        </w:tc>
        <w:tc>
          <w:tcPr>
            <w:tcW w:type="dxa" w:w="1650"/>
            <w:vAlign w:val="center"/>
          </w:tcPr>
          <w:p>
            <w:pPr>
              <w:spacing w:after="0"/>
            </w:pPr>
            <w:r>
              <w:rPr>
                <w:sz w:val="16"/>
              </w:rPr>
              <w:t>56.03</w:t>
            </w:r>
          </w:p>
        </w:tc>
        <w:tc>
          <w:tcPr>
            <w:tcW w:type="dxa" w:w="1650"/>
            <w:vAlign w:val="center"/>
          </w:tcPr>
          <w:p>
            <w:pPr>
              <w:spacing w:after="0"/>
            </w:pPr>
            <w:r>
              <w:rPr>
                <w:sz w:val="16"/>
              </w:rPr>
              <w:t>11.77</w:t>
            </w:r>
          </w:p>
        </w:tc>
        <w:tc>
          <w:tcPr>
            <w:tcW w:type="dxa" w:w="1700"/>
            <w:vAlign w:val="center"/>
          </w:tcPr>
          <w:p>
            <w:pPr>
              <w:spacing w:after="0"/>
            </w:pPr>
            <w:r>
              <w:rPr>
                <w:sz w:val="16"/>
              </w:rPr>
              <w:t>15.05</w:t>
            </w:r>
          </w:p>
        </w:tc>
        <w:tc>
          <w:tcPr>
            <w:tcW w:type="dxa" w:w="1710"/>
            <w:vAlign w:val="center"/>
          </w:tcPr>
          <w:p>
            <w:pPr>
              <w:spacing w:after="0"/>
            </w:pPr>
            <w:r>
              <w:rPr>
                <w:sz w:val="16"/>
              </w:rPr>
              <w:t>3.16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Joint cap</w:t>
            </w:r>
          </w:p>
        </w:tc>
        <w:tc>
          <w:tcPr>
            <w:tcW w:type="dxa" w:w="1650"/>
            <w:vAlign w:val="center"/>
          </w:tcPr>
          <w:p>
            <w:pPr>
              <w:spacing w:after="0"/>
            </w:pPr>
            <w:r>
              <w:rPr>
                <w:sz w:val="16"/>
              </w:rPr>
              <w:t>54.68</w:t>
            </w:r>
          </w:p>
        </w:tc>
        <w:tc>
          <w:tcPr>
            <w:tcW w:type="dxa" w:w="1650"/>
            <w:vAlign w:val="center"/>
          </w:tcPr>
          <w:p>
            <w:pPr>
              <w:spacing w:after="0"/>
            </w:pPr>
            <w:r>
              <w:rPr>
                <w:sz w:val="16"/>
              </w:rPr>
              <w:t>21.15</w:t>
            </w:r>
          </w:p>
        </w:tc>
        <w:tc>
          <w:tcPr>
            <w:tcW w:type="dxa" w:w="1700"/>
            <w:vAlign w:val="center"/>
          </w:tcPr>
          <w:p>
            <w:pPr>
              <w:spacing w:after="0"/>
            </w:pPr>
            <w:r>
              <w:rPr>
                <w:sz w:val="16"/>
              </w:rPr>
              <w:t>23.03</w:t>
            </w:r>
          </w:p>
        </w:tc>
        <w:tc>
          <w:tcPr>
            <w:tcW w:type="dxa" w:w="1710"/>
            <w:vAlign w:val="center"/>
          </w:tcPr>
          <w:p>
            <w:pPr>
              <w:spacing w:after="0"/>
            </w:pPr>
            <w:r>
              <w:rPr>
                <w:sz w:val="16"/>
              </w:rPr>
              <w:t>3.55 pp</w:t>
            </w:r>
          </w:p>
        </w:tc>
      </w:tr>
    </w:tbl>
    <w:p w14:paraId="001000CC" w14:textId="001000CD">
      <w:pPr>
        <w:spacing w:before="0" w:after="100" w:line="259" w:lineRule="auto"/>
        <w:jc w:val="both"/>
      </w:pPr>
      <w: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t>A protocol-separated CIC-IDS-2018 FT256x4 campaign completed seeds 1, 2, 3, 4, and 42 with one Task-0 epoch and one epoch per later task. Head-only inference gives 69.27 +/- 20.34% accuracy, 21.81 +/- 8.82% Macro-F1, 25.67 +/- 6.35% balanced accuracy, and 7.62 +/- 7.54 points of forgetting. Joint cap-3000 gives 52.55 +/- 5.79%, 34.05 +/- 7.54%, 53.93 +/- 7.79%, and 19.03 +/- 8.62 points, respectively. This older closure remains valid only under its shorter schedule. The stricter current CIC-IDS-2018 campaign is still in progress and is not used in the current four-dataset table.</w:t>
      </w:r>
    </w:p>
    <w:p w14:paraId="00100129" w14:textId="001001AF">
      <w:pPr>
        <w:pStyle w:val="Heading2"/>
      </w:pPr>
      <w:r>
        <w:rPr/>
        <w:t xml:space="preserve">4.4 RQ2: Additive classifier comparison</w:t>
      </w:r>
    </w:p>
    <w:p w14:paraId="0010012B" w14:textId="001001EF">
      <w:pPr>
        <w:pStyle w:val="Caption"/>
      </w:pPr>
      <w:r>
        <w:t>Table 4.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tcPr>
            <w:vAlign w:val="center"/>
          </w:tcPr>
          <w:p>
            <w:pPr>
              <w:spacing w:after="0"/>
            </w:pPr>
            <w:r>
              <w:rPr>
                <w:sz w:val="16"/>
              </w:rPr>
              <w:t>TabM-OFRA joint cap, 5 seeds</w:t>
            </w:r>
          </w:p>
        </w:tc>
        <w:tc>
          <w:tcPr>
            <w:vAlign w:val="center"/>
          </w:tcPr>
          <w:p>
            <w:pPr>
              <w:spacing w:after="0"/>
            </w:pPr>
            <w:r>
              <w:rPr>
                <w:sz w:val="16"/>
              </w:rPr>
              <w:t>57.99 +/- 3.93</w:t>
            </w:r>
          </w:p>
        </w:tc>
        <w:tc>
          <w:tcPr>
            <w:vAlign w:val="center"/>
          </w:tcPr>
          <w:p>
            <w:pPr>
              <w:spacing w:after="0"/>
            </w:pPr>
            <w:r>
              <w:rPr>
                <w:sz w:val="16"/>
              </w:rPr>
              <w:t>20.46 +/- 1.19</w:t>
            </w:r>
          </w:p>
        </w:tc>
        <w:tc>
          <w:tcPr>
            <w:vAlign w:val="center"/>
          </w:tcPr>
          <w:p>
            <w:pPr>
              <w:spacing w:after="0"/>
            </w:pPr>
            <w:r>
              <w:rPr>
                <w:sz w:val="16"/>
              </w:rPr>
              <w:t>21.60 +/- 1.70</w:t>
            </w:r>
          </w:p>
        </w:tc>
        <w:tc>
          <w:tcPr>
            <w:vAlign w:val="center"/>
          </w:tcPr>
          <w:p>
            <w:pPr>
              <w:spacing w:after="0"/>
            </w:pPr>
            <w:r>
              <w:rPr>
                <w:sz w:val="16"/>
              </w:rPr>
              <w:t>4.39 +/- 2.56 pp</w:t>
            </w:r>
          </w:p>
        </w:tc>
      </w:tr>
      <w:tr>
        <w:trPr/>
        <w:tc>
          <w:tcPr>
            <w:vAlign w:val="center"/>
          </w:tcPr>
          <w:p>
            <w:pPr>
              <w:spacing w:after="0"/>
            </w:pPr>
            <w:r>
              <w:rPr>
                <w:sz w:val="16"/>
              </w:rPr>
              <w:t>FT512-OFRA joint cap, 5 seeds</w:t>
            </w:r>
          </w:p>
        </w:tc>
        <w:tc>
          <w:tcPr>
            <w:vAlign w:val="center"/>
          </w:tcPr>
          <w:p>
            <w:pPr>
              <w:spacing w:after="0"/>
            </w:pPr>
            <w:r>
              <w:rPr>
                <w:sz w:val="16"/>
              </w:rPr>
              <w:t>54.68 +/- 2.71</w:t>
            </w:r>
          </w:p>
        </w:tc>
        <w:tc>
          <w:tcPr>
            <w:vAlign w:val="center"/>
          </w:tcPr>
          <w:p>
            <w:pPr>
              <w:spacing w:after="0"/>
            </w:pPr>
            <w:r>
              <w:rPr>
                <w:sz w:val="16"/>
              </w:rPr>
              <w:t>21.15 +/- 3.37</w:t>
            </w:r>
          </w:p>
        </w:tc>
        <w:tc>
          <w:tcPr>
            <w:vAlign w:val="center"/>
          </w:tcPr>
          <w:p>
            <w:pPr>
              <w:spacing w:after="0"/>
            </w:pPr>
            <w:r>
              <w:rPr>
                <w:sz w:val="16"/>
              </w:rPr>
              <w:t>23.03 +/- 3.42</w:t>
            </w:r>
          </w:p>
        </w:tc>
        <w:tc>
          <w:tcPr>
            <w:vAlign w:val="center"/>
          </w:tcPr>
          <w:p>
            <w:pPr>
              <w:spacing w:after="0"/>
            </w:pPr>
            <w:r>
              <w:rPr>
                <w:sz w:val="16"/>
              </w:rPr>
              <w:t>3.55 +/- 0.77 pp</w:t>
            </w:r>
          </w:p>
        </w:tc>
      </w:tr>
      <w:tr>
        <w:trPr/>
        <w:tc>
          <w:tcPr>
            <w:vAlign w:val="center"/>
          </w:tcPr>
          <w:p>
            <w:pPr>
              <w:spacing w:after="0"/>
            </w:pPr>
            <w:r>
              <w:rPr>
                <w:sz w:val="16"/>
              </w:rPr>
              <w:t>CatBoost cumulative, 5 seeds</w:t>
            </w:r>
          </w:p>
        </w:tc>
        <w:tc>
          <w:tcPr>
            <w:vAlign w:val="center"/>
          </w:tcPr>
          <w:p>
            <w:pPr>
              <w:spacing w:after="0"/>
            </w:pPr>
            <w:r>
              <w:rPr>
                <w:sz w:val="16"/>
              </w:rPr>
              <w:t>66.50 +/- 0.44</w:t>
            </w:r>
          </w:p>
        </w:tc>
        <w:tc>
          <w:tcPr>
            <w:vAlign w:val="center"/>
          </w:tcPr>
          <w:p>
            <w:pPr>
              <w:spacing w:after="0"/>
            </w:pPr>
            <w:r>
              <w:rPr>
                <w:sz w:val="16"/>
              </w:rPr>
              <w:t>34.76 +/- 0.69</w:t>
            </w:r>
          </w:p>
        </w:tc>
        <w:tc>
          <w:tcPr>
            <w:vAlign w:val="center"/>
          </w:tcPr>
          <w:p>
            <w:pPr>
              <w:spacing w:after="0"/>
            </w:pPr>
            <w:r>
              <w:rPr>
                <w:sz w:val="16"/>
              </w:rPr>
              <w:t>39.10 +/- 0.73</w:t>
            </w:r>
          </w:p>
        </w:tc>
        <w:tc>
          <w:tcPr>
            <w:vAlign w:val="center"/>
          </w:tcPr>
          <w:p>
            <w:pPr>
              <w:spacing w:after="0"/>
            </w:pPr>
            <w:r>
              <w:rPr>
                <w:sz w:val="16"/>
              </w:rPr>
              <w:t>15.34 +/- 0.73 pp</w:t>
            </w:r>
          </w:p>
        </w:tc>
      </w:tr>
      <w:tr>
        <w:trPr/>
        <w:tc>
          <w:tcPr>
            <w:vAlign w:val="center"/>
          </w:tcPr>
          <w:p>
            <w:pPr>
              <w:spacing w:after="0"/>
            </w:pPr>
            <w:r>
              <w:rPr>
                <w:sz w:val="16"/>
              </w:rPr>
              <w:t>TabM cumulative, 5 seeds</w:t>
            </w:r>
          </w:p>
        </w:tc>
        <w:tc>
          <w:tcPr>
            <w:vAlign w:val="center"/>
          </w:tcPr>
          <w:p>
            <w:pPr>
              <w:spacing w:after="0"/>
            </w:pPr>
            <w:r>
              <w:rPr>
                <w:sz w:val="16"/>
              </w:rPr>
              <w:t>65.01 +/- 0.96</w:t>
            </w:r>
          </w:p>
        </w:tc>
        <w:tc>
          <w:tcPr>
            <w:vAlign w:val="center"/>
          </w:tcPr>
          <w:p>
            <w:pPr>
              <w:spacing w:after="0"/>
            </w:pPr>
            <w:r>
              <w:rPr>
                <w:sz w:val="16"/>
              </w:rPr>
              <w:t>32.66 +/- 1.31</w:t>
            </w:r>
          </w:p>
        </w:tc>
        <w:tc>
          <w:tcPr>
            <w:vAlign w:val="center"/>
          </w:tcPr>
          <w:p>
            <w:pPr>
              <w:spacing w:after="0"/>
            </w:pPr>
            <w:r>
              <w:rPr>
                <w:sz w:val="16"/>
              </w:rPr>
              <w:t>34.41 +/- 1.51</w:t>
            </w:r>
          </w:p>
        </w:tc>
        <w:tc>
          <w:tcPr>
            <w:vAlign w:val="center"/>
          </w:tcPr>
          <w:p>
            <w:pPr>
              <w:spacing w:after="0"/>
            </w:pPr>
            <w:r>
              <w:rPr>
                <w:sz w:val="16"/>
              </w:rPr>
              <w:t>9.43 +/- 1.80 pp</w:t>
            </w:r>
          </w:p>
        </w:tc>
      </w:tr>
    </w:tbl>
    <w:p w14:paraId="0010015F" w14:textId="00100160">
      <w:pPr/>
      <w: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t xml:space="preserve">4.5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1B3">
      <w:pPr>
        <w:spacing w:before="0" w:after="100" w:line="259" w:lineRule="auto"/>
        <w:jc w:val="both"/>
      </w:pPr>
      <w:r>
        <w:rPr>
          <w:rFonts w:ascii="Arial" w:hAnsi="Arial"/>
          <w:b w:val="0"/>
          <w:i w:val="0"/>
          <w:sz w:val="20"/>
        </w:rPr>
        <w:t xml:space="preserve">The completed source-bound pilot confirms that ETG states inherit material attribution-method dependence. Agreement must therefore be reported at several levels rather than reduced to one feature-overlap number. Expected Gradients remains the registered operational explainer, but governance conclusions should be treated as method-conditioned; a future deployment should require method consensus, uncertainty-aware admission, or external calibration. The failed Integrated-Gradients completeness check further shows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t>First, strict five-seed prediction evidence is complete for four datasets, while the stricter CIC-IDS-2018 8+10-epoch campaign remains in progress; model capacity also differs between Malaya and the three FT256x4 datasets. Second, source-bound SHAP and ETG evidence remains limited to Malaya seed 1; additional seeds have not yet passed the complete source-bound validation workflow and are not reported. Third, attribution dependence is bounded by a three-method single-seed pilot rather than a multi-seed estimate, and Integrated Gradients failed its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t>Sixth, numerical Task-0-only scaling passes the no-look-ahead audit, but NSL-KDD and UNSW-NB15 categorical schemas contain bounded future-category information affecting about 0.9% of later-task rows; strict vocabulary rebuilding and rerunning remain open.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w:t>
      </w:r>
    </w:p>
    <w:p w14:paraId="001000EA" w14:textId="001000EB">
      <w:pPr>
        <w:pStyle w:val="Heading1"/>
        <w:keepNext/>
      </w:pPr>
      <w:r>
        <w:t>7. Conclusion</w:t>
      </w:r>
    </w:p>
    <w:p w14:paraId="001000EC" w14:textId="001001B6">
      <w:pPr>
        <w:spacing w:before="0" w:after="100" w:line="259" w:lineRule="auto"/>
        <w:jc w:val="both"/>
      </w:pPr>
      <w:r>
        <w:t>This revision provides a bounded evaluation of OFRA prediction, additive classifier diagnostics, explanation stability, and post-hoc ETG governance. Strict five-seed prediction evidence across NSL-KDD, UNSW-NB15, CIC-IDS-2017, and MalayaNetwork_GT shows that routing effects are dataset-dependent. On Malaya, joint cap improves class-balanced metrics but does not establish an accuracy or forgetting gain. A source-bound Malaya seed-1 analysis finds 12 silent explanation-drift events among 17 eligible transitions and executes the ETG state machine on the same routed-score evidence; threshold sensitivity and attribution-method dependence are reported explicitly. The work supports a reproducible integrated offline audit pipeline, not an online adaptive loop or universal superiority claim. Remaining work is the validated multi-seed explanation/ETG extension, strict categorical-vocabulary rebuilding and rerunning, completion of the current CIC-IDS-2018 campaign, and stronger protocol-matched continual-learning baselines.</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40" w:line="259"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40" w:line="259"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40" w:line="259"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40" w:line="259" w:lineRule="auto"/>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40" w:line="259"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40" w:line="259"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40" w:line="259"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40" w:line="259"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40" w:line="259"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40" w:line="259" w:lineRule="auto"/>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40" w:line="259"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40" w:line="259"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rPr>
        <w:rFonts w:ascii="Arial" w:hAnsi="Arial"/>
        <w:b w:val="0"/>
        <w:i w:val="0"/>
        <w:color w:val="5A646E"/>
        <w:sz w:val="16"/>
      </w:rPr>
      <w:t xml:space="preserve">WU LIQIANG | Research manuscript v2.4 | Page </w:t>
    </w:r>
    <w:r>
      <w:fldChar w:fldCharType="begin"/>
    </w:r>
    <w:r>
      <w:instrText xml:space="preserve"> PAGE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rPr>
        <w:rFonts w:ascii="Arial" w:hAnsi="Arial"/>
        <w:b w:val="0"/>
        <w:i w:val="0"/>
        <w:color w:val="5A646E"/>
        <w:sz w:val="16"/>
      </w:rPr>
      <w:t>OFRA + ETG | Supervisor revision | 24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prediction with an offline ETG evidence ledger; current five-seed evidence</dc:subject>
  <dc:creator/>
  <cp:keywords>continual learning; network intrusion detection; explanation stability; SHAP; OFRA; ETG</cp:keywords>
  <cp:lastModifiedBy/>
  <cp:revision>1</cp:revision>
  <dcterms:created xsi:type="dcterms:W3CDTF">2013-12-23T23:15:00Z</dcterms:created>
  <dcterms:modified xsi:type="dcterms:W3CDTF">2026-08-24T00:00:00Z</dcterms:modified>
  <cp:category/>
</cp:coreProperties>
</file>