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xmlns:w14="http://schemas.microsoft.com/office/word/2010/wordml" mc:Ignorable="w14">
  <w:body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xmlns:w14="http://schemas.microsoft.com/office/word/2010/wordml">
    <w:p w14:paraId="00100000" w14:textId="00100001">
      <w:pPr>
        <w:pStyle w:val="Title"/>
      </w:pPr>
      <w:r>
        <w:t xml:space="preserve">OFRA and ETG Technical Report</w:t>
      </w:r>
    </w:p>
    <w:p w14:paraId="00100002" w14:textId="00100003">
      <w:pPr>
        <w:pStyle w:val="Subtitle"/>
      </w:pPr>
      <w:r>
        <w:t xml:space="preserve">Evidence-aligned architecture, preprocessing, classifier comparisons, SHAP, ETG, and project status</w:t>
      </w:r>
    </w:p>
    <w:p w14:paraId="00100004" w14:textId="00100005">
      <w:pPr>
        <w:pStyle w:val="Author"/>
      </w:pPr>
      <w:r>
        <w:t xml:space="preserve">WU LIQIANG</w:t>
      </w:r>
    </w:p>
    <w:p w14:paraId="00100006" w14:textId="00100007">
      <w:pPr>
        <w:pStyle w:val="Date"/>
      </w:pPr>
      <w:r>
        <w:t xml:space="preserve">17 August 2026</w:t>
      </w:r>
    </w:p>
    <w:p w14:paraId="00100175" w14:textId="00100176">
      <w:pPr>
        <w:pStyle w:val="TOCHeading"/>
      </w:pPr>
      <w:r>
        <w:t>Table of Contents</w:t>
      </w:r>
    </w:p>
    <w:p w14:paraId="00100177" w14:textId="00100178">
      <w:r>
        <w:fldChar w:fldCharType="begin"/>
      </w:r>
      <w:r>
        <w:instrText xml:space="preserve"> TOC \o "1-3" \h \u </w:instrText>
      </w:r>
      <w:r>
        <w:fldChar w:fldCharType="separate"/>
      </w:r>
      <w:r>
        <w:t xml:space="preserve">Update field to see table of contents</w:t>
      </w:r>
      <w:r>
        <w:fldChar w:fldCharType="end"/>
      </w:r>
    </w:p>
    <w:bookmarkStart w:name="X1bbd800a4cdb77e831187a7bf6b23dddf36a506" w:id="9"/>
    <w:p w14:paraId="0010000C" w14:textId="0010000D">
      <w:pPr>
        <w:pStyle w:val="Heading2"/>
      </w:pPr>
      <w:r>
        <w:t xml:space="preserve">1. Research objective and evaluation boundary</w:t>
      </w:r>
    </w:p>
    <w:p w14:paraId="0010000E" w14:textId="0010000F">
      <w:pPr>
        <w:pStyle w:val="FirstParagraph"/>
      </w:pPr>
      <w:r>
        <w:t xml:space="preserve">The project studies class-incremental learning for network-traffic</w:t>
      </w:r>
      <w:r>
        <w:t xml:space="preserve"> </w:t>
      </w:r>
      <w:r>
        <w:t xml:space="preserve">classification. A class-incremental learner receives an ordered sequence of</w:t>
      </w:r>
      <w:r>
        <w:t xml:space="preserve"> </w:t>
      </w:r>
      <w:r>
        <w:t xml:space="preserve">tasks. Each task introduces classes that were not available in earlier tasks,</w:t>
      </w:r>
      <w:r>
        <w:t xml:space="preserve"> </w:t>
      </w:r>
      <w:r>
        <w:t xml:space="preserve">and evaluation covers all classes seen so far. The practical problem is to add</w:t>
      </w:r>
      <w:r>
        <w:t xml:space="preserve"> </w:t>
      </w:r>
      <w:r>
        <w:t xml:space="preserve">new traffic classes without retraining from scratch while limiting catastrophic</w:t>
      </w:r>
      <w:r>
        <w:t xml:space="preserve"> </w:t>
      </w:r>
      <w:r>
        <w:t xml:space="preserve">forgetting of earlier classes.</w:t>
      </w:r>
    </w:p>
    <w:p w14:paraId="00100010" w14:textId="00100011">
      <w:pPr>
        <w:pStyle w:val="BodyText"/>
      </w:pPr>
      <w:r>
        <w:t xml:space="preserve">Four datasets are intrusion-detection benchmarks: NSL-KDD, UNSW-NB15,</w:t>
      </w:r>
      <w:r>
        <w:t xml:space="preserve"> </w:t>
      </w:r>
      <w:r>
        <w:t xml:space="preserve">CIC-IDS-2017, and CSE-CIC-IDS2018. MalayaNetwork_GT is an external</w:t>
      </w:r>
      <w:r>
        <w:t xml:space="preserve"> </w:t>
      </w:r>
      <w:r>
        <w:t xml:space="preserve">application-traffic dataset with application/service labels. It tests the same</w:t>
      </w:r>
      <w:r>
        <w:t xml:space="preserve"> </w:t>
      </w:r>
      <w:r>
        <w:t xml:space="preserve">class-incremental mechanism under non-IID capture conditions but is not treated</w:t>
      </w:r>
      <w:r>
        <w:t xml:space="preserve"> </w:t>
      </w:r>
      <w:r>
        <w:t xml:space="preserve">as an intrusion-detection benchmark.</w:t>
      </w:r>
    </w:p>
    <w:p w14:paraId="00100012" w14:textId="00100013">
      <w:pPr>
        <w:pStyle w:val="BodyText"/>
      </w:pPr>
      <w:r>
        <w:t xml:space="preserve">Each dataset is processed, trained, and evaluated independently. Rows from</w:t>
      </w:r>
      <w:r>
        <w:t xml:space="preserve"> </w:t>
      </w:r>
      <w:r>
        <w:t xml:space="preserve">different datasets are never pooled into a shared training stream.</w:t>
      </w:r>
    </w:p>
    <w:bookmarkEnd w:id="9"/>
    <w:bookmarkStart w:name="end-to-end-architecture" w:id="10"/>
    <w:p w14:paraId="00100014" w14:textId="00100015">
      <w:pPr>
        <w:pStyle w:val="Heading2"/>
      </w:pPr>
      <w:r>
        <w:t xml:space="preserve">2. End-to-end architecture</w:t>
      </w:r>
    </w:p>
    <w:p w14:paraId="00100016" w14:textId="00100017">
      <w:pPr>
        <w:pStyle w:val="SourceCode"/>
      </w:pPr>
      <w:r>
        <w:rPr>
          <w:rStyle w:val="VerbatimChar"/>
        </w:rPr>
        <w:t xml:space="preserve">Raw dataset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Dataset-specific preprocessing contract</w:t>
      </w:r>
      <w:r>
        <w:br/>
      </w:r>
      <w:r>
        <w:rPr>
          <w:rStyle w:val="VerbatimChar"/>
        </w:rPr>
        <w:t xml:space="preserve">  - file and source-hash validation</w:t>
      </w:r>
      <w:r>
        <w:br/>
      </w:r>
      <w:r>
        <w:rPr>
          <w:rStyle w:val="VerbatimChar"/>
        </w:rPr>
        <w:t xml:space="preserve">  - label normalization and fixed class order</w:t>
      </w:r>
      <w:r>
        <w:br/>
      </w:r>
      <w:r>
        <w:rPr>
          <w:rStyle w:val="VerbatimChar"/>
        </w:rPr>
        <w:t xml:space="preserve">  - identifier removal and numerical conversion</w:t>
      </w:r>
      <w:r>
        <w:br/>
      </w:r>
      <w:r>
        <w:rPr>
          <w:rStyle w:val="VerbatimChar"/>
        </w:rPr>
        <w:t xml:space="preserve">  - dataset-specific train/test split</w:t>
      </w:r>
      <w:r>
        <w:br/>
      </w:r>
      <w:r>
        <w:rPr>
          <w:rStyle w:val="VerbatimChar"/>
        </w:rPr>
        <w:t xml:space="preserve">  - class/split shards and overlap audit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Registered encoder arm</w:t>
      </w:r>
      <w:r>
        <w:br/>
      </w:r>
      <w:r>
        <w:rPr>
          <w:rStyle w:val="VerbatimChar"/>
        </w:rPr>
        <w:t xml:space="preserve">  - reported FT-Transformer: 512 dimensions, 12 layers</w:t>
      </w:r>
      <w:r>
        <w:br/>
      </w:r>
      <w:r>
        <w:rPr>
          <w:rStyle w:val="VerbatimChar"/>
        </w:rPr>
        <w:t xml:space="preserve">  - additive TabM comparison: 16 member embeddings averaged to 256 dimensions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+--------------------+----------------------+</w:t>
      </w:r>
      <w:r>
        <w:br/>
      </w:r>
      <w:r>
        <w:rPr>
          <w:rStyle w:val="VerbatimChar"/>
        </w:rPr>
        <w:t xml:space="preserve">    |                    |                      |</w:t>
      </w:r>
      <w:r>
        <w:br/>
      </w:r>
      <w:r>
        <w:rPr>
          <w:rStyle w:val="VerbatimChar"/>
        </w:rPr>
        <w:t xml:space="preserve">    v                    v                      v</w:t>
      </w:r>
      <w:r>
        <w:br/>
      </w:r>
      <w:r>
        <w:rPr>
          <w:rStyle w:val="VerbatimChar"/>
        </w:rPr>
        <w:t xml:space="preserve">Family-specific      DP-Means router       Exemplar memory</w:t>
      </w:r>
      <w:r>
        <w:br/>
      </w:r>
      <w:r>
        <w:rPr>
          <w:rStyle w:val="VerbatimChar"/>
        </w:rPr>
        <w:t xml:space="preserve">low-rank heads       class centroids       bounded replay</w:t>
      </w:r>
      <w:r>
        <w:br/>
      </w:r>
      <w:r>
        <w:rPr>
          <w:rStyle w:val="VerbatimChar"/>
        </w:rPr>
        <w:t xml:space="preserve">    |                    |</w:t>
      </w:r>
      <w:r>
        <w:br/>
      </w:r>
      <w:r>
        <w:rPr>
          <w:rStyle w:val="VerbatimChar"/>
        </w:rPr>
        <w:t xml:space="preserve">    +---------+----------+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Five registered decision arms</w:t>
      </w:r>
      <w:r>
        <w:br/>
      </w:r>
      <w:r>
        <w:rPr>
          <w:rStyle w:val="VerbatimChar"/>
        </w:rPr>
        <w:t xml:space="preserve">  head-only | router cap | joint cap | router full | joint full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Checkpoint metrics and fixed-probe monitoring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SHAP expected-gradient explanation analysis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Offline ETG governance ledger</w:t>
      </w:r>
    </w:p>
    <w:p w14:paraId="00100018" w14:textId="00100019">
      <w:pPr>
        <w:pStyle w:val="FirstParagraph"/>
      </w:pPr>
      <w:r>
        <w:t xml:space="preserve">The classifier produces the prediction before SHAP and ETG are run. SHAP</w:t>
      </w:r>
      <w:r>
        <w:t xml:space="preserve"> </w:t>
      </w:r>
      <w:r>
        <w:t xml:space="preserve">explains the stored decision evidence. ETG records whether the explanation and</w:t>
      </w:r>
      <w:r>
        <w:t xml:space="preserve"> </w:t>
      </w:r>
      <w:r>
        <w:t xml:space="preserve">performance evidence satisfy a registered governance rule. ETG does not alter</w:t>
      </w:r>
      <w:r>
        <w:t xml:space="preserve"> </w:t>
      </w:r>
      <w:r>
        <w:t xml:space="preserve">the class predicted by the model in the published experiment.</w:t>
      </w:r>
    </w:p>
    <w:bookmarkEnd w:id="10"/>
    <w:bookmarkStart w:name="dataset-specific-preprocessing-contracts" w:id="11"/>
    <w:p w14:paraId="0010001A" w14:textId="0010001B">
      <w:pPr>
        <w:pStyle w:val="Heading2"/>
      </w:pPr>
      <w:r>
        <w:t xml:space="preserve">3. Dataset-specific preprocessing contracts</w:t>
      </w:r>
    </w:p>
    <w:p w14:paraId="0010001C" w14:textId="0010001D">
      <w:pPr>
        <w:pStyle w:val="FirstParagraph"/>
      </w:pPr>
      <w:r>
        <w:rPr>
          <w:rStyle w:val="VerbatimChar"/>
        </w:rPr>
        <w:t xml:space="preserve">fullcache/specs.py</w:t>
      </w:r>
      <w:r>
        <w:t xml:space="preserve"> </w:t>
      </w:r>
      <w:r>
        <w:t xml:space="preserve">is the executable source of truth. The builder operates in</w:t>
      </w:r>
      <w:r>
        <w:t xml:space="preserve"> </w:t>
      </w:r>
      <w:r>
        <w:t xml:space="preserve">chunks, validates the required files and columns, rejects unexpected labels in</w:t>
      </w:r>
      <w:r>
        <w:t xml:space="preserve"> </w:t>
      </w:r>
      <w:r>
        <w:t xml:space="preserve">strict mode, converts features to finite numerical arrays, and writes</w:t>
      </w:r>
      <w:r>
        <w:t xml:space="preserve"> </w:t>
      </w:r>
      <w:r>
        <w:t xml:space="preserve">class-by-split shards. Every cache records input and output SHA-256 hashes,</w:t>
      </w:r>
      <w:r>
        <w:t xml:space="preserve"> </w:t>
      </w:r>
      <w:r>
        <w:t xml:space="preserve">feature order, class order, task schedule, row accounting, and a split-overlap</w:t>
      </w:r>
      <w:r>
        <w:t xml:space="preserve"> </w:t>
      </w:r>
      <w:r>
        <w:t xml:space="preserve">audit.</w:t>
      </w:r>
    </w:p>
    <w:tbl>
      <w:tblPr>
        <w:tblStyle w:val="Table"/>
        <w:tblW w:w="5000" w:type="pct"/>
        <w:tblLayout w:type="fixed"/>
        <w:tblLook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 w14:paraId="0010001E" w14:textId="0010001F">
            <w:pPr>
              <w:pStyle w:val="Compact"/>
            </w:pPr>
            <w:r>
              <w:t xml:space="preserve">Dataset</w:t>
            </w:r>
          </w:p>
        </w:tc>
        <w:tc>
          <w:tcPr/>
          <w:p w14:paraId="00100020" w14:textId="00100021">
            <w:pPr>
              <w:pStyle w:val="Compact"/>
            </w:pPr>
            <w:r>
              <w:t xml:space="preserve">Input and split</w:t>
            </w:r>
          </w:p>
        </w:tc>
        <w:tc>
          <w:tcPr/>
          <w:p w14:paraId="00100022" w14:textId="00100023">
            <w:pPr>
              <w:pStyle w:val="Compact"/>
            </w:pPr>
            <w:r>
              <w:t xml:space="preserve">Removed fields</w:t>
            </w:r>
          </w:p>
        </w:tc>
        <w:tc>
          <w:tcPr/>
          <w:p w14:paraId="00100024" w14:textId="00100025">
            <w:pPr>
              <w:pStyle w:val="Compact"/>
            </w:pPr>
            <w:r>
              <w:t xml:space="preserve">Output and task schedule</w:t>
            </w:r>
          </w:p>
        </w:tc>
      </w:tr>
      <w:tr>
        <w:tc>
          <w:tcPr/>
          <w:p w14:paraId="00100026" w14:textId="00100027">
            <w:pPr>
              <w:pStyle w:val="Compact"/>
            </w:pPr>
            <w:r>
              <w:t xml:space="preserve">NSL-KDD</w:t>
            </w:r>
          </w:p>
        </w:tc>
        <w:tc>
          <w:tcPr/>
          <w:p w14:paraId="00100028" w14:textId="00100029">
            <w:pPr>
              <w:pStyle w:val="Compact"/>
            </w:pPr>
            <w:r>
              <w:rPr>
                <w:rStyle w:val="VerbatimChar"/>
              </w:rPr>
              <w:t xml:space="preserve">KDDTrain+.txt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KDDTest+.txt</w:t>
            </w:r>
            <w:r>
              <w:t xml:space="preserve">; official split retained; categorical vocabularies for protocol, service, and flag are fitted on training data only</w:t>
            </w:r>
          </w:p>
        </w:tc>
        <w:tc>
          <w:tcPr/>
          <w:p w14:paraId="0010002A" w14:textId="0010002B">
            <w:pPr>
              <w:pStyle w:val="Compact"/>
            </w:pPr>
            <w:r>
              <w:t xml:space="preserve">label and difficulty</w:t>
            </w:r>
          </w:p>
        </w:tc>
        <w:tc>
          <w:tcPr/>
          <w:p w14:paraId="0010002C" w14:textId="0010002D">
            <w:pPr>
              <w:pStyle w:val="Compact"/>
            </w:pPr>
            <w:r>
              <w:t xml:space="preserve">122 model features; classes Normal, DoS, Probe, R2L, U2R; tasks</w:t>
            </w:r>
            <w:r>
              <w:t xml:space="preserve"> </w:t>
            </w:r>
            <w:r>
              <w:rPr>
                <w:rStyle w:val="VerbatimChar"/>
              </w:rPr>
              <w:t xml:space="preserve">(Normal, DoS) -&gt; Probe -&gt; R2L -&gt; U2R</w:t>
            </w:r>
          </w:p>
        </w:tc>
      </w:tr>
      <w:tr>
        <w:tc>
          <w:tcPr/>
          <w:p w14:paraId="0010002E" w14:textId="0010002F">
            <w:pPr>
              <w:pStyle w:val="Compact"/>
            </w:pPr>
            <w:r>
              <w:t xml:space="preserve">UNSW-NB15</w:t>
            </w:r>
          </w:p>
        </w:tc>
        <w:tc>
          <w:tcPr/>
          <w:p w14:paraId="00100030" w14:textId="00100031">
            <w:pPr>
              <w:pStyle w:val="Compact"/>
            </w:pPr>
            <w:r>
              <w:t xml:space="preserve">official training and testing CSVs retained; categorical vocabularies for protocol, service, and state are fitted on training data only</w:t>
            </w:r>
          </w:p>
        </w:tc>
        <w:tc>
          <w:tcPr/>
          <w:p w14:paraId="00100032" w14:textId="00100033">
            <w:pPr>
              <w:pStyle w:val="Compact"/>
            </w:pPr>
            <w:r>
              <w:t xml:space="preserve">id, binary label, attack category</w:t>
            </w:r>
          </w:p>
        </w:tc>
        <w:tc>
          <w:tcPr/>
          <w:p w14:paraId="00100034" w14:textId="00100035">
            <w:pPr>
              <w:pStyle w:val="Compact"/>
            </w:pPr>
            <w:r>
              <w:t xml:space="preserve">194 model features; ten classes; five two-class tasks beginning with Normal and Generic</w:t>
            </w:r>
          </w:p>
        </w:tc>
      </w:tr>
      <w:tr>
        <w:tc>
          <w:tcPr/>
          <w:p w14:paraId="00100036" w14:textId="00100037">
            <w:pPr>
              <w:pStyle w:val="Compact"/>
            </w:pPr>
            <w:r>
              <w:t xml:space="preserve">CIC-IDS-2017</w:t>
            </w:r>
          </w:p>
        </w:tc>
        <w:tc>
          <w:tcPr/>
          <w:p w14:paraId="00100038" w14:textId="00100039">
            <w:pPr>
              <w:pStyle w:val="Compact"/>
            </w:pPr>
            <w:r>
              <w:t xml:space="preserve">eight labelled flow CSVs; deterministic 80/20 grouping by cleaned feature bytes</w:t>
            </w:r>
          </w:p>
        </w:tc>
        <w:tc>
          <w:tcPr/>
          <w:p w14:paraId="0010003A" w14:textId="0010003B">
            <w:pPr>
              <w:pStyle w:val="Compact"/>
            </w:pPr>
            <w:r>
              <w:t xml:space="preserve">label, flow ID, source/destination IP, source port, timestamp, external IP</w:t>
            </w:r>
          </w:p>
        </w:tc>
        <w:tc>
          <w:tcPr/>
          <w:p w14:paraId="0010003C" w14:textId="0010003D">
            <w:pPr>
              <w:pStyle w:val="Compact"/>
            </w:pPr>
            <w:r>
              <w:t xml:space="preserve">78 features; eight grouped classes; four two-class tasks</w:t>
            </w:r>
          </w:p>
        </w:tc>
      </w:tr>
      <w:tr>
        <w:tc>
          <w:tcPr/>
          <w:p w14:paraId="0010003E" w14:textId="0010003F">
            <w:pPr>
              <w:pStyle w:val="Compact"/>
            </w:pPr>
            <w:r>
              <w:t xml:space="preserve">CSE-CIC-IDS2018</w:t>
            </w:r>
          </w:p>
        </w:tc>
        <w:tc>
          <w:tcPr/>
          <w:p w14:paraId="00100040" w14:textId="00100041">
            <w:pPr>
              <w:pStyle w:val="Compact"/>
            </w:pPr>
            <w:r>
              <w:t xml:space="preserve">all ten official labelled traffic CSVs; deterministic 80/20 grouping by cleaned feature bytes</w:t>
            </w:r>
          </w:p>
        </w:tc>
        <w:tc>
          <w:tcPr/>
          <w:p w14:paraId="00100042" w14:textId="00100043">
            <w:pPr>
              <w:pStyle w:val="Compact"/>
            </w:pPr>
            <w:r>
              <w:t xml:space="preserve">label, timestamp, flow ID, source IP/port, destination IP; destination port is retained</w:t>
            </w:r>
          </w:p>
        </w:tc>
        <w:tc>
          <w:tcPr/>
          <w:p w14:paraId="00100044" w14:textId="00100045">
            <w:pPr>
              <w:pStyle w:val="Compact"/>
            </w:pPr>
            <w:r>
              <w:t xml:space="preserve">78 features; seven grouped classes; four tasks</w:t>
            </w:r>
          </w:p>
        </w:tc>
      </w:tr>
      <w:tr>
        <w:tc>
          <w:tcPr/>
          <w:p w14:paraId="00100046" w14:textId="00100047">
            <w:pPr>
              <w:pStyle w:val="Compact"/>
            </w:pPr>
            <w:r>
              <w:t xml:space="preserve">MalayaNetwork_GT</w:t>
            </w:r>
          </w:p>
        </w:tc>
        <w:tc>
          <w:tcPr/>
          <w:p w14:paraId="00100048" w14:textId="00100049">
            <w:pPr>
              <w:pStyle w:val="Compact"/>
            </w:pPr>
            <w:r>
              <w:t xml:space="preserve">31 derived-flow CSVs at frozen revision</w:t>
            </w:r>
            <w:r>
              <w:t xml:space="preserve"> </w:t>
            </w:r>
            <w:r>
              <w:rPr>
                <w:rStyle w:val="VerbatimChar"/>
              </w:rPr>
              <w:t xml:space="preserve">384a59278f98490ee6e93aae017e748078d29b6a</w:t>
            </w:r>
            <w:r>
              <w:t xml:space="preserve">; one frozen capture per class is held out</w:t>
            </w:r>
          </w:p>
        </w:tc>
        <w:tc>
          <w:tcPr/>
          <w:p w14:paraId="0010004A" w14:textId="0010004B">
            <w:pPr>
              <w:pStyle w:val="Compact"/>
            </w:pPr>
            <w:r>
              <w:t xml:space="preserve">source/destination IP, source/destination port, timestamp</w:t>
            </w:r>
          </w:p>
        </w:tc>
        <w:tc>
          <w:tcPr/>
          <w:p w14:paraId="0010004C" w14:textId="0010004D">
            <w:pPr>
              <w:pStyle w:val="Compact"/>
            </w:pPr>
            <w:r>
              <w:t xml:space="preserve">77 numerical flow features; ten application classes; five two-class tasks</w:t>
            </w:r>
          </w:p>
        </w:tc>
      </w:tr>
    </w:tbl>
    <w:p w14:paraId="0010004E" w14:textId="0010004F">
      <w:pPr>
        <w:pStyle w:val="BodyText"/>
      </w:pPr>
      <w:r>
        <w:t xml:space="preserve">For the feature-hash split, identical cleaned feature rows share the same split</w:t>
      </w:r>
      <w:r>
        <w:t xml:space="preserve"> </w:t>
      </w:r>
      <w:r>
        <w:t xml:space="preserve">assignment, preventing an exact cleaned duplicate from appearing in both train</w:t>
      </w:r>
      <w:r>
        <w:t xml:space="preserve"> </w:t>
      </w:r>
      <w:r>
        <w:t xml:space="preserve">and test. Malaya uses a capture-level split instead because rows from the same</w:t>
      </w:r>
      <w:r>
        <w:t xml:space="preserve"> </w:t>
      </w:r>
      <w:r>
        <w:t xml:space="preserve">capture are correlated; a row-level random split would leak capture-specific</w:t>
      </w:r>
      <w:r>
        <w:t xml:space="preserve"> </w:t>
      </w:r>
      <w:r>
        <w:t xml:space="preserve">structure into evaluation.</w:t>
      </w:r>
    </w:p>
    <w:bookmarkEnd w:id="11"/>
    <w:bookmarkStart w:name="model-and-continual-learning-components" w:id="19"/>
    <w:p w14:paraId="00100050" w14:textId="00100051">
      <w:pPr>
        <w:pStyle w:val="Heading2"/>
      </w:pPr>
      <w:r>
        <w:t xml:space="preserve">4. Model and continual-learning components</w:t>
      </w:r>
    </w:p>
    <w:bookmarkStart w:name="ft-transformer-encoder" w:id="12"/>
    <w:p w14:paraId="00100052" w14:textId="00100053">
      <w:pPr>
        <w:pStyle w:val="Heading3"/>
      </w:pPr>
      <w:r>
        <w:t xml:space="preserve">4.1 FT-Transformer encoder</w:t>
      </w:r>
    </w:p>
    <w:p w14:paraId="00100054" w14:textId="00100055">
      <w:pPr>
        <w:pStyle w:val="FirstParagraph"/>
      </w:pPr>
      <w:r>
        <w:t xml:space="preserve">The current formal configuration uses a 512-dimensional FT-Transformer with 12</w:t>
      </w:r>
      <w:r>
        <w:t xml:space="preserve"> </w:t>
      </w:r>
      <w:r>
        <w:t xml:space="preserve">layers, 16 attention heads, head dimension 32, and 0.1 attention/feed-forward</w:t>
      </w:r>
      <w:r>
        <w:t xml:space="preserve"> </w:t>
      </w:r>
      <w:r>
        <w:t xml:space="preserve">dropout. The encoder maps a numerical traffic row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to representation</w:t>
      </w:r>
      <w:r>
        <w:t xml:space="preserve"> </w:t>
      </w:r>
      <w:r>
        <w:rPr>
          <w:rStyle w:val="VerbatimChar"/>
        </w:rPr>
        <w:t xml:space="preserve">h(x)</w:t>
      </w:r>
      <w:r>
        <w:t xml:space="preserve">. The large encoder is shared by all classes within one dataset run.</w:t>
      </w:r>
    </w:p>
    <w:p w14:paraId="00100056" w14:textId="00100057">
      <w:pPr>
        <w:pStyle w:val="BodyText"/>
      </w:pPr>
      <w:r>
        <w:t xml:space="preserve">The initial task is trained for eight epochs. Each later task is trained for</w:t>
      </w:r>
      <w:r>
        <w:t xml:space="preserve"> </w:t>
      </w:r>
      <w:r>
        <w:t xml:space="preserve">ten epochs. An epoch is one pass over the training data selected for that</w:t>
      </w:r>
      <w:r>
        <w:t xml:space="preserve"> </w:t>
      </w:r>
      <w:r>
        <w:t xml:space="preserve">stage. More epochs provide more optimization steps but can also increase</w:t>
      </w:r>
      <w:r>
        <w:t xml:space="preserve"> </w:t>
      </w:r>
      <w:r>
        <w:t xml:space="preserve">overfitting or forgetting; eight and ten are protocol settings, not universal</w:t>
      </w:r>
      <w:r>
        <w:t xml:space="preserve"> </w:t>
      </w:r>
      <w:r>
        <w:t xml:space="preserve">optimal values.</w:t>
      </w:r>
    </w:p>
    <w:bookmarkEnd w:id="12"/>
    <w:bookmarkStart w:name="additive-tabm-encoder-comparison" w:id="13"/>
    <w:p w14:paraId="00100058" w14:textId="00100059">
      <w:pPr>
        <w:pStyle w:val="Heading3"/>
      </w:pPr>
      <w:r>
        <w:t xml:space="preserve">4.2 Additive TabM encoder comparison</w:t>
      </w:r>
    </w:p>
    <w:p w14:paraId="0010005A" w14:textId="0010005B">
      <w:pPr>
        <w:pStyle w:val="FirstParagraph"/>
      </w:pPr>
      <w:r>
        <w:t xml:space="preserve">TabM is evaluated as an additional encoder arm rather than a replacement for</w:t>
      </w:r>
      <w:r>
        <w:t xml:space="preserve"> </w:t>
      </w:r>
      <w:r>
        <w:t xml:space="preserve">the registered OFRA method. The adapter produces 16 member embeddings with</w:t>
      </w:r>
      <w:r>
        <w:t xml:space="preserve"> </w:t>
      </w:r>
      <w:r>
        <w:t xml:space="preserve">shape</w:t>
      </w:r>
      <w:r>
        <w:t xml:space="preserve"> </w:t>
      </w:r>
      <w:r>
        <w:rPr>
          <w:rStyle w:val="VerbatimChar"/>
        </w:rPr>
        <w:t xml:space="preserve">(batch, 16, 256)</w:t>
      </w:r>
      <w:r>
        <w:t xml:space="preserve"> </w:t>
      </w:r>
      <w:r>
        <w:t xml:space="preserve">and averages them across the member dimension to</w:t>
      </w:r>
      <w:r>
        <w:t xml:space="preserve"> </w:t>
      </w:r>
      <w:r>
        <w:t xml:space="preserve">obtain the single</w:t>
      </w:r>
      <w:r>
        <w:t xml:space="preserve"> </w:t>
      </w:r>
      <w:r>
        <w:rPr>
          <w:rStyle w:val="VerbatimChar"/>
        </w:rPr>
        <w:t xml:space="preserve">(batch, 256)</w:t>
      </w:r>
      <w:r>
        <w:t xml:space="preserve"> </w:t>
      </w:r>
      <w:r>
        <w:t xml:space="preserve">representation required by the existing OFRA</w:t>
      </w:r>
      <w:r>
        <w:t xml:space="preserve"> </w:t>
      </w:r>
      <w:r>
        <w:t xml:space="preserve">interface. The family heads, exemplar budget, DP-Means routers, joint-score</w:t>
      </w:r>
      <w:r>
        <w:t xml:space="preserve"> </w:t>
      </w:r>
      <w:r>
        <w:t xml:space="preserve">weight, task schedule, and evaluation definitions remain unchanged.</w:t>
      </w:r>
    </w:p>
    <w:p w14:paraId="0010005C" w14:textId="0010005D">
      <w:pPr>
        <w:pStyle w:val="BodyText"/>
      </w:pPr>
      <w:r>
        <w:t xml:space="preserve">This is a deliberately narrow integration. It tests whether a different</w:t>
      </w:r>
      <w:r>
        <w:t xml:space="preserve"> </w:t>
      </w:r>
      <w:r>
        <w:t xml:space="preserve">tabular representation improves the existing prediction pipeline without</w:t>
      </w:r>
      <w:r>
        <w:t xml:space="preserve"> </w:t>
      </w:r>
      <w:r>
        <w:t xml:space="preserve">introducing a new router or governance rule. It must be described as a</w:t>
      </w:r>
      <w:r>
        <w:t xml:space="preserve"> </w:t>
      </w:r>
      <w:r>
        <w:t xml:space="preserve">mean-embedding TabM adapter, not as a full member-wise redesign of OFRA.</w:t>
      </w:r>
    </w:p>
    <w:bookmarkEnd w:id="13"/>
    <w:bookmarkStart w:name="family-specific-low-rank-heads" w:id="14"/>
    <w:p w14:paraId="0010005E" w14:textId="0010005F">
      <w:pPr>
        <w:pStyle w:val="Heading3"/>
      </w:pPr>
      <w:r>
        <w:t xml:space="preserve">4.3 Family-specific low-rank heads</w:t>
      </w:r>
    </w:p>
    <w:p w14:paraId="00100060" w14:textId="00100061">
      <w:pPr>
        <w:pStyle w:val="FirstParagraph"/>
      </w:pPr>
      <w:r>
        <w:t xml:space="preserve">Each seen class has a binary positive-versus-negative decision head. The head</w:t>
      </w:r>
      <w:r>
        <w:t xml:space="preserve"> </w:t>
      </w:r>
      <w:r>
        <w:t xml:space="preserve">uses a rank-8 low-rank adaptation with scaling parameter 16. For class</w:t>
      </w:r>
      <w:r>
        <w:t xml:space="preserve"> </w:t>
      </w:r>
      <w:r>
        <w:rPr>
          <w:rStyle w:val="VerbatimChar"/>
        </w:rPr>
        <w:t xml:space="preserve">c</w:t>
      </w:r>
      <w:r>
        <w:t xml:space="preserve">, the</w:t>
      </w:r>
      <w:r>
        <w:t xml:space="preserve"> </w:t>
      </w:r>
      <w:r>
        <w:t xml:space="preserve">head outputs probability</w:t>
      </w:r>
      <w:r>
        <w:t xml:space="preserve"> </w:t>
      </w:r>
      <w:r>
        <w:rPr>
          <w:rStyle w:val="VerbatimChar"/>
        </w:rPr>
        <w:t xml:space="preserve">p(c,x)</w:t>
      </w:r>
      <w:r>
        <w:t xml:space="preserve">. Family-specific heads allow a new class to</w:t>
      </w:r>
      <w:r>
        <w:t xml:space="preserve"> </w:t>
      </w:r>
      <w:r>
        <w:t xml:space="preserve">receive a new decision component without rebuilding a single fixed multiclass</w:t>
      </w:r>
      <w:r>
        <w:t xml:space="preserve"> </w:t>
      </w:r>
      <w:r>
        <w:t xml:space="preserve">output layer.</w:t>
      </w:r>
    </w:p>
    <w:bookmarkEnd w:id="14"/>
    <w:bookmarkStart w:name="bounded-exemplar-memory" w:id="15"/>
    <w:p w14:paraId="00100062" w14:textId="00100063">
      <w:pPr>
        <w:pStyle w:val="Heading3"/>
      </w:pPr>
      <w:r>
        <w:t xml:space="preserve">4.4 Bounded exemplar memory</w:t>
      </w:r>
    </w:p>
    <w:p w14:paraId="00100064" w14:textId="00100065">
      <w:pPr>
        <w:pStyle w:val="FirstParagraph"/>
      </w:pPr>
      <w:r>
        <w:t xml:space="preserve">The learner retains at most 50 exemplars per class from a candidate pool of at</w:t>
      </w:r>
      <w:r>
        <w:t xml:space="preserve"> </w:t>
      </w:r>
      <w:r>
        <w:t xml:space="preserve">most 5,000. Replay mixes selected older examples with the current task to</w:t>
      </w:r>
      <w:r>
        <w:t xml:space="preserve"> </w:t>
      </w:r>
      <w:r>
        <w:t xml:space="preserve">reduce catastrophic forgetting. This is a fixed study budget and does not</w:t>
      </w:r>
      <w:r>
        <w:t xml:space="preserve"> </w:t>
      </w:r>
      <w:r>
        <w:t xml:space="preserve">imply that 50 is generally optimal.</w:t>
      </w:r>
    </w:p>
    <w:bookmarkEnd w:id="15"/>
    <w:bookmarkStart w:name="dp-means-router" w:id="16"/>
    <w:p w14:paraId="00100066" w14:textId="00100067">
      <w:pPr>
        <w:pStyle w:val="Heading3"/>
      </w:pPr>
      <w:r>
        <w:t xml:space="preserve">4.5 DP-Means router</w:t>
      </w:r>
    </w:p>
    <w:p w14:paraId="00100068" w14:textId="00100069">
      <w:pPr>
        <w:pStyle w:val="FirstParagraph"/>
      </w:pPr>
      <w:r>
        <w:t xml:space="preserve">The router maintains one or more centroids for each seen class in encoder space.</w:t>
      </w:r>
      <w:r>
        <w:t xml:space="preserve"> </w:t>
      </w:r>
      <w:r>
        <w:t xml:space="preserve">DP-Means can create an additional centroid when an embedding is sufficiently</w:t>
      </w:r>
      <w:r>
        <w:t xml:space="preserve"> </w:t>
      </w:r>
      <w:r>
        <w:t xml:space="preserve">far from the existing centroids, subject to a maximum of 32 centroids. The</w:t>
      </w:r>
      <w:r>
        <w:t xml:space="preserve"> </w:t>
      </w:r>
      <w:r>
        <w:t xml:space="preserve">creation threshold is derived from the registered 0.3 distance quantile.</w:t>
      </w:r>
    </w:p>
    <w:p w14:paraId="0010006A" w14:textId="0010006B">
      <w:pPr>
        <w:pStyle w:val="BodyText"/>
      </w:pPr>
      <w:r>
        <w:t xml:space="preserve">For class</w:t>
      </w:r>
      <w:r>
        <w:t xml:space="preserve"> </w:t>
      </w:r>
      <w:r>
        <w:rPr>
          <w:rStyle w:val="VerbatimChar"/>
        </w:rPr>
        <w:t xml:space="preserve">c</w:t>
      </w:r>
      <w:r>
        <w:t xml:space="preserve">, the raw routing score is the negative distance from</w:t>
      </w:r>
      <w:r>
        <w:t xml:space="preserve"> </w:t>
      </w:r>
      <w:r>
        <w:rPr>
          <w:rStyle w:val="VerbatimChar"/>
        </w:rPr>
        <w:t xml:space="preserve">h(x)</w:t>
      </w:r>
      <w:r>
        <w:t xml:space="preserve"> </w:t>
      </w:r>
      <w:r>
        <w:t xml:space="preserve">to</w:t>
      </w:r>
      <w:r>
        <w:t xml:space="preserve"> </w:t>
      </w:r>
      <w:r>
        <w:t xml:space="preserve">the nearest centroid. Scores are standardized across seen classes to obtain</w:t>
      </w:r>
      <w:r>
        <w:t xml:space="preserve"> </w:t>
      </w:r>
      <w:r>
        <w:rPr>
          <w:rStyle w:val="VerbatimChar"/>
        </w:rPr>
        <w:t xml:space="preserve">z(c,x)</w:t>
      </w:r>
      <w:r>
        <w:t xml:space="preserve">. A higher value means the sample is more compatible with that class’s</w:t>
      </w:r>
      <w:r>
        <w:t xml:space="preserve"> </w:t>
      </w:r>
      <w:r>
        <w:t xml:space="preserve">stored embedding geometry.</w:t>
      </w:r>
    </w:p>
    <w:p w14:paraId="0010006C" w14:textId="0010006D">
      <w:pPr>
        <w:pStyle w:val="BodyText"/>
      </w:pPr>
      <w:r>
        <w:t xml:space="preserve">The capped router fits centroids from at most 3,000 selected samples per class;</w:t>
      </w:r>
      <w:r>
        <w:t xml:space="preserve"> </w:t>
      </w:r>
      <w:r>
        <w:t xml:space="preserve">the uncapped router uses all eligible samples. The cap controls router fitting</w:t>
      </w:r>
      <w:r>
        <w:t xml:space="preserve"> </w:t>
      </w:r>
      <w:r>
        <w:t xml:space="preserve">cost and prevents large classes from dominating centroid estimation. It does</w:t>
      </w:r>
      <w:r>
        <w:t xml:space="preserve"> </w:t>
      </w:r>
      <w:r>
        <w:t xml:space="preserve">not limit the number of test rows.</w:t>
      </w:r>
    </w:p>
    <w:bookmarkEnd w:id="16"/>
    <w:bookmarkStart w:name="registered-decision-arms" w:id="17"/>
    <w:p w14:paraId="0010006E" w14:textId="0010006F">
      <w:pPr>
        <w:pStyle w:val="Heading3"/>
      </w:pPr>
      <w:r>
        <w:t xml:space="preserve">4.6 Registered decision arms</w:t>
      </w:r>
    </w:p>
    <w:p w14:paraId="00100070" w14:textId="00100071">
      <w:pPr>
        <w:pStyle w:val="FirstParagraph"/>
      </w:pPr>
      <w:r>
        <w:t xml:space="preserve">The experiment evaluates matched views of the same trained model:</w:t>
      </w:r>
    </w:p>
    <w:p w14:paraId="00100072" w14:textId="00100073">
      <w:pPr>
        <w:pStyle w:val="Compact"/>
        <w:numPr>
          <w:ilvl w:val="0"/>
          <w:numId w:val="1001"/>
        </w:numPr>
      </w:pPr>
      <w:r>
        <w:t xml:space="preserve">head-only:</w:t>
      </w:r>
      <w:r>
        <w:t xml:space="preserve"> </w:t>
      </w:r>
      <w:r>
        <w:rPr>
          <w:rStyle w:val="VerbatimChar"/>
        </w:rPr>
        <w:t xml:space="preserve">s(c,x) = p(c,x)</w:t>
      </w:r>
      <w:r>
        <w:t xml:space="preserve">;</w:t>
      </w:r>
    </w:p>
    <w:p w14:paraId="00100074" w14:textId="00100075">
      <w:pPr>
        <w:pStyle w:val="Compact"/>
        <w:numPr>
          <w:ilvl w:val="0"/>
          <w:numId w:val="1001"/>
        </w:numPr>
      </w:pPr>
      <w:r>
        <w:t xml:space="preserve">router cap:</w:t>
      </w:r>
      <w:r>
        <w:t xml:space="preserve"> </w:t>
      </w:r>
      <w:r>
        <w:rPr>
          <w:rStyle w:val="VerbatimChar"/>
        </w:rPr>
        <w:t xml:space="preserve">s(c,x) = z_cap(c,x)</w:t>
      </w:r>
      <w:r>
        <w:t xml:space="preserve">;</w:t>
      </w:r>
    </w:p>
    <w:p w14:paraId="00100076" w14:textId="00100077">
      <w:pPr>
        <w:pStyle w:val="Compact"/>
        <w:numPr>
          <w:ilvl w:val="0"/>
          <w:numId w:val="1001"/>
        </w:numPr>
      </w:pPr>
      <w:r>
        <w:t xml:space="preserve">joint cap:</w:t>
      </w:r>
      <w:r>
        <w:t xml:space="preserve"> </w:t>
      </w:r>
      <w:r>
        <w:rPr>
          <w:rStyle w:val="VerbatimChar"/>
        </w:rPr>
        <w:t xml:space="preserve">s(c,x) = p(c,x) + 0.5 z_cap(c,x)</w:t>
      </w:r>
      <w:r>
        <w:t xml:space="preserve">;</w:t>
      </w:r>
    </w:p>
    <w:p w14:paraId="00100078" w14:textId="00100079">
      <w:pPr>
        <w:pStyle w:val="Compact"/>
        <w:numPr>
          <w:ilvl w:val="0"/>
          <w:numId w:val="1001"/>
        </w:numPr>
      </w:pPr>
      <w:r>
        <w:t xml:space="preserve">router full:</w:t>
      </w:r>
      <w:r>
        <w:t xml:space="preserve"> </w:t>
      </w:r>
      <w:r>
        <w:rPr>
          <w:rStyle w:val="VerbatimChar"/>
        </w:rPr>
        <w:t xml:space="preserve">s(c,x) = z_full(c,x)</w:t>
      </w:r>
      <w:r>
        <w:t xml:space="preserve">;</w:t>
      </w:r>
    </w:p>
    <w:p w14:paraId="0010007A" w14:textId="0010007B">
      <w:pPr>
        <w:pStyle w:val="Compact"/>
        <w:numPr>
          <w:ilvl w:val="0"/>
          <w:numId w:val="1001"/>
        </w:numPr>
      </w:pPr>
      <w:r>
        <w:t xml:space="preserve">joint full:</w:t>
      </w:r>
      <w:r>
        <w:t xml:space="preserve"> </w:t>
      </w:r>
      <w:r>
        <w:rPr>
          <w:rStyle w:val="VerbatimChar"/>
        </w:rPr>
        <w:t xml:space="preserve">s(c,x) = p(c,x) + 0.5 z_full(c,x)</w:t>
      </w:r>
      <w:r>
        <w:t xml:space="preserve">.</w:t>
      </w:r>
    </w:p>
    <w:p w14:paraId="0010007C" w14:textId="0010007D">
      <w:pPr>
        <w:pStyle w:val="FirstParagraph"/>
      </w:pPr>
      <w:r>
        <w:t xml:space="preserve">The predicted class is</w:t>
      </w:r>
      <w:r>
        <w:t xml:space="preserve"> </w:t>
      </w:r>
      <w:r>
        <w:rPr>
          <w:rStyle w:val="VerbatimChar"/>
        </w:rPr>
        <w:t xml:space="preserve">argmax_c s(c,x)</w:t>
      </w:r>
      <w:r>
        <w:t xml:space="preserve">, meaning the class with the largest</w:t>
      </w:r>
      <w:r>
        <w:t xml:space="preserve"> </w:t>
      </w:r>
      <w:r>
        <w:t xml:space="preserve">score among all classes seen at that checkpoint. The joint weight 0.5, cap</w:t>
      </w:r>
      <w:r>
        <w:t xml:space="preserve"> </w:t>
      </w:r>
      <w:r>
        <w:t xml:space="preserve">3,000, quantile 0.3, and centroid limit 32 are registered project settings.</w:t>
      </w:r>
    </w:p>
    <w:bookmarkEnd w:id="17"/>
    <w:bookmarkStart w:name="catboost-cumulative-diagnostic" w:id="18"/>
    <w:p w14:paraId="0010007E" w14:textId="0010007F">
      <w:pPr>
        <w:pStyle w:val="Heading3"/>
      </w:pPr>
      <w:r>
        <w:t xml:space="preserve">4.7 CatBoost cumulative diagnostic</w:t>
      </w:r>
    </w:p>
    <w:p w14:paraId="00100080" w14:textId="00100081">
      <w:pPr>
        <w:pStyle w:val="FirstParagraph"/>
      </w:pPr>
      <w:r>
        <w:t xml:space="preserve">CatBoost is used only as a cumulative multiclass diagnostic. At each</w:t>
      </w:r>
      <w:r>
        <w:t xml:space="preserve"> </w:t>
      </w:r>
      <w:r>
        <w:t xml:space="preserve">checkpoint it trains a fresh classifier on all training rows belonging to the</w:t>
      </w:r>
      <w:r>
        <w:t xml:space="preserve"> </w:t>
      </w:r>
      <w:r>
        <w:t xml:space="preserve">classes seen so far. It therefore estimates classification headroom in the</w:t>
      </w:r>
      <w:r>
        <w:t xml:space="preserve"> </w:t>
      </w:r>
      <w:r>
        <w:t xml:space="preserve">fixed Malaya feature representation, but it does not use OFRA family heads,</w:t>
      </w:r>
      <w:r>
        <w:t xml:space="preserve"> </w:t>
      </w:r>
      <w:r>
        <w:t xml:space="preserve">bounded exemplar replay, DP-Means routing, or the cap-3,000 budget. Its native</w:t>
      </w:r>
      <w:r>
        <w:t xml:space="preserve"> </w:t>
      </w:r>
      <w:r>
        <w:t xml:space="preserve">feature attribution is not the registered routed-margin SHAP target and is not</w:t>
      </w:r>
      <w:r>
        <w:t xml:space="preserve"> </w:t>
      </w:r>
      <w:r>
        <w:t xml:space="preserve">entered into the ETG ledger. A CatBoost-OFRA hybrid would constitute a new</w:t>
      </w:r>
      <w:r>
        <w:t xml:space="preserve"> </w:t>
      </w:r>
      <w:r>
        <w:t xml:space="preserve">method and is outside the frozen protocol.</w:t>
      </w:r>
    </w:p>
    <w:bookmarkEnd w:id="18"/>
    <w:bookmarkEnd w:id="19"/>
    <w:bookmarkStart w:name="training-and-evaluation-protocol" w:id="20"/>
    <w:p w14:paraId="00100082" w14:textId="00100083">
      <w:pPr>
        <w:pStyle w:val="Heading2"/>
      </w:pPr>
      <w:r>
        <w:t xml:space="preserve">5. Training and evaluation protocol</w:t>
      </w:r>
    </w:p>
    <w:p w14:paraId="00100084" w14:textId="00100085">
      <w:pPr>
        <w:pStyle w:val="FirstParagraph"/>
      </w:pPr>
      <w:r>
        <w:t xml:space="preserve">The formal configuration uses focal loss with gamma 2.0 and alpha 0.75,</w:t>
      </w:r>
      <w:r>
        <w:t xml:space="preserve"> </w:t>
      </w:r>
      <w:r>
        <w:t xml:space="preserve">learning rate 0.001, batch size 384, evaluation batch size 512, and a</w:t>
      </w:r>
      <w:r>
        <w:t xml:space="preserve"> </w:t>
      </w:r>
      <w:r>
        <w:t xml:space="preserve">negative-to-positive sampling ratio of 4. Deterministic execution and shard</w:t>
      </w:r>
      <w:r>
        <w:t xml:space="preserve"> </w:t>
      </w:r>
      <w:r>
        <w:t xml:space="preserve">hash verification are enabled. Recovery checkpoints are validated by hash</w:t>
      </w:r>
      <w:r>
        <w:t xml:space="preserve"> </w:t>
      </w:r>
      <w:r>
        <w:t xml:space="preserve">before a run resumes.</w:t>
      </w:r>
    </w:p>
    <w:p w14:paraId="00100086" w14:textId="00100087">
      <w:pPr>
        <w:pStyle w:val="BodyText"/>
      </w:pPr>
      <w:r>
        <w:t xml:space="preserve">At checkpoint</w:t>
      </w:r>
      <w:r>
        <w:t xml:space="preserve"> </w:t>
      </w:r>
      <w:r>
        <w:rPr>
          <w:rStyle w:val="VerbatimChar"/>
        </w:rPr>
        <w:t xml:space="preserve">t</w:t>
      </w:r>
      <w:r>
        <w:t xml:space="preserve">, the model is evaluated on every class seen through task</w:t>
      </w:r>
      <w:r>
        <w:t xml:space="preserve"> </w:t>
      </w:r>
      <w:r>
        <w:rPr>
          <w:rStyle w:val="VerbatimChar"/>
        </w:rPr>
        <w:t xml:space="preserve">t</w:t>
      </w:r>
      <w:r>
        <w:t xml:space="preserve">. Reported metrics include:</w:t>
      </w:r>
    </w:p>
    <w:p w14:paraId="00100088" w14:textId="00100089">
      <w:pPr>
        <w:pStyle w:val="Compact"/>
        <w:numPr>
          <w:ilvl w:val="0"/>
          <w:numId w:val="1002"/>
        </w:numPr>
      </w:pPr>
      <w:r>
        <w:t xml:space="preserve">overall accuracy: fraction of correct predictions;</w:t>
      </w:r>
    </w:p>
    <w:p w14:paraId="0010008A" w14:textId="0010008B">
      <w:pPr>
        <w:pStyle w:val="Compact"/>
        <w:numPr>
          <w:ilvl w:val="0"/>
          <w:numId w:val="1002"/>
        </w:numPr>
      </w:pPr>
      <w:r>
        <w:t xml:space="preserve">Macro-F1: arithmetic mean of per-class F1, giving every class equal weight;</w:t>
      </w:r>
    </w:p>
    <w:p w14:paraId="0010008C" w14:textId="0010008D">
      <w:pPr>
        <w:pStyle w:val="Compact"/>
        <w:numPr>
          <w:ilvl w:val="0"/>
          <w:numId w:val="1002"/>
        </w:numPr>
      </w:pPr>
      <w:r>
        <w:t xml:space="preserve">balanced accuracy: arithmetic mean of per-class recall;</w:t>
      </w:r>
    </w:p>
    <w:p w14:paraId="0010008E" w14:textId="0010008F">
      <w:pPr>
        <w:pStyle w:val="Compact"/>
        <w:numPr>
          <w:ilvl w:val="0"/>
          <w:numId w:val="1002"/>
        </w:numPr>
      </w:pPr>
      <w:r>
        <w:t xml:space="preserve">average forgetting: mean decline from each earlier task’s best historical</w:t>
      </w:r>
      <w:r>
        <w:t xml:space="preserve"> </w:t>
      </w:r>
      <w:r>
        <w:t xml:space="preserve">accuracy to its current accuracy, reported in percentage points;</w:t>
      </w:r>
    </w:p>
    <w:p w14:paraId="00100090" w14:textId="00100091">
      <w:pPr>
        <w:pStyle w:val="Compact"/>
        <w:numPr>
          <w:ilvl w:val="0"/>
          <w:numId w:val="1002"/>
        </w:numPr>
      </w:pPr>
      <w:r>
        <w:t xml:space="preserve">benign false-positive rate and attack-detection recall for datasets with a</w:t>
      </w:r>
      <w:r>
        <w:t xml:space="preserve"> </w:t>
      </w:r>
      <w:r>
        <w:t xml:space="preserve">valid benign/attack interpretation.</w:t>
      </w:r>
    </w:p>
    <w:p w14:paraId="00100092" w14:textId="00100093">
      <w:pPr>
        <w:pStyle w:val="FirstParagraph"/>
      </w:pPr>
      <w:r>
        <w:t xml:space="preserve">MalayaNetwork_GT does not report benign/attack metrics because its labels are</w:t>
      </w:r>
      <w:r>
        <w:t xml:space="preserve"> </w:t>
      </w:r>
      <w:r>
        <w:t xml:space="preserve">applications, not attack categories.</w:t>
      </w:r>
    </w:p>
    <w:bookmarkEnd w:id="20"/>
    <w:bookmarkStart w:name="shap-explanation-analysis" w:id="21"/>
    <w:p w14:paraId="00100094" w14:textId="00100095">
      <w:pPr>
        <w:pStyle w:val="Heading2"/>
      </w:pPr>
      <w:r>
        <w:t xml:space="preserve">6. SHAP explanation analysis</w:t>
      </w:r>
    </w:p>
    <w:p w14:paraId="00100096" w14:textId="00100097">
      <w:pPr>
        <w:pStyle w:val="FirstParagraph"/>
      </w:pPr>
      <w:r>
        <w:t xml:space="preserve">SHAP is a family of additive feature-attribution methods. The current analyzer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shap.GradientExplainer</w:t>
      </w:r>
      <w:r>
        <w:t xml:space="preserve">, an expected-gradients approximation suitable for</w:t>
      </w:r>
      <w:r>
        <w:t xml:space="preserve"> </w:t>
      </w:r>
      <w:r>
        <w:t xml:space="preserve">the differentiable FT-Transformer. It does not use KernelSHAP.</w:t>
      </w:r>
    </w:p>
    <w:p w14:paraId="00100098" w14:textId="00100099">
      <w:pPr>
        <w:pStyle w:val="BodyText"/>
      </w:pPr>
      <w:r>
        <w:t xml:space="preserve">For a fixed probe and checkpoint, the analyzer reconstructs the registered</w:t>
      </w:r>
      <w:r>
        <w:t xml:space="preserve"> </w:t>
      </w:r>
      <w:r>
        <w:rPr>
          <w:rStyle w:val="VerbatimChar"/>
        </w:rPr>
        <w:t xml:space="preserve">joint_cap3000</w:t>
      </w:r>
      <w:r>
        <w:t xml:space="preserve"> </w:t>
      </w:r>
      <w:r>
        <w:t xml:space="preserve">class margin and attributes that margin to input features. A</w:t>
      </w:r>
      <w:r>
        <w:t xml:space="preserve"> </w:t>
      </w:r>
      <w:r>
        <w:t xml:space="preserve">positive attribution pushes the explained margin upward; a negative value</w:t>
      </w:r>
      <w:r>
        <w:t xml:space="preserve"> </w:t>
      </w:r>
      <w:r>
        <w:t xml:space="preserve">pushes it downward. The largest absolute values identify the features with the</w:t>
      </w:r>
      <w:r>
        <w:t xml:space="preserve"> </w:t>
      </w:r>
      <w:r>
        <w:t xml:space="preserve">strongest contribution for that particular probe and decision. The commonly</w:t>
      </w:r>
      <w:r>
        <w:t xml:space="preserve"> </w:t>
      </w:r>
      <w:r>
        <w:t xml:space="preserve">shown top-15 list is therefore ranked by absolute SHAP magnitude, not selected</w:t>
      </w:r>
      <w:r>
        <w:t xml:space="preserve"> </w:t>
      </w:r>
      <w:r>
        <w:t xml:space="preserve">manually.</w:t>
      </w:r>
    </w:p>
    <w:p w14:paraId="0010009A" w14:textId="0010009B">
      <w:pPr>
        <w:pStyle w:val="BodyText"/>
      </w:pPr>
      <w:r>
        <w:t xml:space="preserve">Explanation drift is measured across eligible class-by-adjacent-checkpoint</w:t>
      </w:r>
      <w:r>
        <w:t xml:space="preserve"> </w:t>
      </w:r>
      <w:r>
        <w:t xml:space="preserve">transitions. Feature-ranking overlap uses Jaccard similarity:</w:t>
      </w:r>
    </w:p>
    <w:p w14:paraId="0010009C" w14:textId="0010009D">
      <w:pPr>
        <w:pStyle w:val="BodyText"/>
      </w:pPr>
      <w:r>
        <w:rPr>
          <w:rStyle w:val="VerbatimChar"/>
        </w:rPr>
        <w:t xml:space="preserve">J(A,B) = |A intersection B| / |A union B|</w:t>
      </w:r>
      <w:r>
        <w:t xml:space="preserve">.</w:t>
      </w:r>
    </w:p>
    <w:p w14:paraId="0010009E" w14:textId="0010009F">
      <w:pPr>
        <w:pStyle w:val="BodyText"/>
      </w:pPr>
      <w:r>
        <w:t xml:space="preserve">Here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are the selected top-feature sets at two adjacent checkpoints.</w:t>
      </w:r>
      <w:r>
        <w:t xml:space="preserve"> </w:t>
      </w:r>
      <w:r>
        <w:t xml:space="preserve">A silent explanation-drift event is a registered condition in which predictive</w:t>
      </w:r>
      <w:r>
        <w:t xml:space="preserve"> </w:t>
      </w:r>
      <w:r>
        <w:t xml:space="preserve">performance remains within its stability rule while the explanation changes</w:t>
      </w:r>
      <w:r>
        <w:t xml:space="preserve"> </w:t>
      </w:r>
      <w:r>
        <w:t xml:space="preserve">beyond the explanation threshold. The thresholds, including a 0.7 rule used</w:t>
      </w:r>
      <w:r>
        <w:t xml:space="preserve"> </w:t>
      </w:r>
      <w:r>
        <w:t xml:space="preserve">in the registered analysis, are study-defined governance settings and are not</w:t>
      </w:r>
      <w:r>
        <w:t xml:space="preserve"> </w:t>
      </w:r>
      <w:r>
        <w:t xml:space="preserve">claimed as universal standards.</w:t>
      </w:r>
    </w:p>
    <w:bookmarkEnd w:id="21"/>
    <w:bookmarkStart w:name="etg-explanation-trust-graph" w:id="22"/>
    <w:p w14:paraId="001000A0" w14:textId="001000A1">
      <w:pPr>
        <w:pStyle w:val="Heading2"/>
      </w:pPr>
      <w:r>
        <w:t xml:space="preserve">7. ETG: Explanation Trust Graph</w:t>
      </w:r>
    </w:p>
    <w:p w14:paraId="001000A2" w14:textId="001000A3">
      <w:pPr>
        <w:pStyle w:val="FirstParagraph"/>
      </w:pPr>
      <w:r>
        <w:t xml:space="preserve">ETG is the project’s offline explanation-governance layer. Its evidence unit is</w:t>
      </w:r>
      <w:r>
        <w:t xml:space="preserve"> </w:t>
      </w:r>
      <w:r>
        <w:t xml:space="preserve">a class-by-adjacent-checkpoint transition, not a packet, flow, sample, user, or</w:t>
      </w:r>
      <w:r>
        <w:t xml:space="preserve"> </w:t>
      </w:r>
      <w:r>
        <w:t xml:space="preserve">real-world incident. Each ledger row links the earlier checkpoint, later</w:t>
      </w:r>
      <w:r>
        <w:t xml:space="preserve"> </w:t>
      </w:r>
      <w:r>
        <w:t xml:space="preserve">checkpoint, performance evidence, explanation evidence, registered thresholds,</w:t>
      </w:r>
      <w:r>
        <w:t xml:space="preserve"> </w:t>
      </w:r>
      <w:r>
        <w:t xml:space="preserve">and resulting governance state.</w:t>
      </w:r>
    </w:p>
    <w:p w14:paraId="001000A4" w14:textId="001000A5">
      <w:pPr>
        <w:pStyle w:val="BodyText"/>
      </w:pPr>
      <w:r>
        <w:t xml:space="preserve">The published strict ETG analysis can:</w:t>
      </w:r>
    </w:p>
    <w:p w14:paraId="001000A6" w14:textId="001000A7">
      <w:pPr>
        <w:pStyle w:val="Compact"/>
        <w:numPr>
          <w:ilvl w:val="0"/>
          <w:numId w:val="1003"/>
        </w:numPr>
      </w:pPr>
      <w:r>
        <w:t xml:space="preserve">certify an admission when the registered evidence is acceptable;</w:t>
      </w:r>
    </w:p>
    <w:p w14:paraId="001000A8" w14:textId="001000A9">
      <w:pPr>
        <w:pStyle w:val="Compact"/>
        <w:numPr>
          <w:ilvl w:val="0"/>
          <w:numId w:val="1003"/>
        </w:numPr>
      </w:pPr>
      <w:r>
        <w:t xml:space="preserve">refuse admission when evidence is insufficient or violates a rule;</w:t>
      </w:r>
    </w:p>
    <w:p w14:paraId="001000AA" w14:textId="001000AB">
      <w:pPr>
        <w:pStyle w:val="Compact"/>
        <w:numPr>
          <w:ilvl w:val="0"/>
          <w:numId w:val="1003"/>
        </w:numPr>
      </w:pPr>
      <w:r>
        <w:t xml:space="preserve">escalate a transition for further review;</w:t>
      </w:r>
    </w:p>
    <w:p w14:paraId="001000AC" w14:textId="001000AD">
      <w:pPr>
        <w:pStyle w:val="Compact"/>
        <w:numPr>
          <w:ilvl w:val="0"/>
          <w:numId w:val="1003"/>
        </w:numPr>
      </w:pPr>
      <w:r>
        <w:t xml:space="preserve">require strict recertification after drift;</w:t>
      </w:r>
    </w:p>
    <w:p w14:paraId="001000AE" w14:textId="001000AF">
      <w:pPr>
        <w:pStyle w:val="Compact"/>
        <w:numPr>
          <w:ilvl w:val="0"/>
          <w:numId w:val="1003"/>
        </w:numPr>
      </w:pPr>
      <w:r>
        <w:t xml:space="preserve">record whether that recertification passed or failed.</w:t>
      </w:r>
    </w:p>
    <w:p w14:paraId="001000B0" w14:textId="001000B1">
      <w:pPr>
        <w:pStyle w:val="FirstParagraph"/>
      </w:pPr>
      <w:r>
        <w:t xml:space="preserve">These actions are simulated governance outcomes. They are not evidence that a</w:t>
      </w:r>
      <w:r>
        <w:t xml:space="preserve"> </w:t>
      </w:r>
      <w:r>
        <w:t xml:space="preserve">human review, deployment block, or production remediation actually occurred.</w:t>
      </w:r>
      <w:r>
        <w:t xml:space="preserve"> </w:t>
      </w:r>
      <w:r>
        <w:t xml:space="preserve">The completed ledger consumes stored OFRA checkpoint evidence; it does not yet</w:t>
      </w:r>
      <w:r>
        <w:t xml:space="preserve"> </w:t>
      </w:r>
      <w:r>
        <w:t xml:space="preserve">demonstrate a closed-loop causal system in which ETG changes future OFRA routing</w:t>
      </w:r>
      <w:r>
        <w:t xml:space="preserve"> </w:t>
      </w:r>
      <w:r>
        <w:t xml:space="preserve">or training.</w:t>
      </w:r>
    </w:p>
    <w:bookmarkEnd w:id="22"/>
    <w:bookmarkStart w:name="current-completed-evidence" w:id="24"/>
    <w:p w14:paraId="001000B2" w14:textId="001000B3">
      <w:pPr>
        <w:pStyle w:val="Heading2"/>
      </w:pPr>
      <w:r>
        <w:t xml:space="preserve">8. Current completed evidence</w:t>
      </w:r>
    </w:p>
    <w:p w14:paraId="001000B4" w14:textId="001000B5">
      <w:pPr>
        <w:pStyle w:val="FirstParagraph"/>
      </w:pPr>
      <w:r>
        <w:t xml:space="preserve">All values below are mean +/- sample standard deviation across seeds 1-4.</w:t>
      </w:r>
    </w:p>
    <w:tbl>
      <w:tblPr>
        <w:tblStyle w:val="Table"/>
        <w:tblW w:w="5000" w:type="pct"/>
        <w:tblLayout w:type="fixed"/>
        <w:tblLook w:val="0020"/>
      </w:tblPr>
      <w:tblGrid>
        <w:gridCol w:w="1080"/>
        <w:gridCol w:w="1080"/>
        <w:gridCol w:w="1440"/>
        <w:gridCol w:w="1440"/>
        <w:gridCol w:w="1440"/>
        <w:gridCol w:w="1440"/>
      </w:tblGrid>
      <w:tr>
        <w:trPr>
          <w:tblHeader w:val="on"/>
        </w:trPr>
        <w:tc>
          <w:tcPr/>
          <w:p w14:paraId="001000B6" w14:textId="001000B7">
            <w:pPr>
              <w:pStyle w:val="Compact"/>
            </w:pPr>
            <w:r>
              <w:t xml:space="preserve">Dataset</w:t>
            </w:r>
          </w:p>
        </w:tc>
        <w:tc>
          <w:tcPr/>
          <w:p w14:paraId="001000B8" w14:textId="001000B9">
            <w:pPr>
              <w:pStyle w:val="Compact"/>
            </w:pPr>
            <w:r>
              <w:t xml:space="preserve">Arm</w:t>
            </w:r>
          </w:p>
        </w:tc>
        <w:tc>
          <w:tcPr/>
          <w:p w14:paraId="001000BA" w14:textId="001000BB"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 w14:paraId="001000BC" w14:textId="001000BD">
            <w:pPr>
              <w:pStyle w:val="Compact"/>
              <w:jc w:val="right"/>
            </w:pPr>
            <w:r>
              <w:t xml:space="preserve">Macro-F1</w:t>
            </w:r>
          </w:p>
        </w:tc>
        <w:tc>
          <w:tcPr/>
          <w:p w14:paraId="001000BE" w14:textId="001000BF">
            <w:pPr>
              <w:pStyle w:val="Compact"/>
              <w:jc w:val="right"/>
            </w:pPr>
            <w:r>
              <w:t xml:space="preserve">Balanced accuracy</w:t>
            </w:r>
          </w:p>
        </w:tc>
        <w:tc>
          <w:tcPr/>
          <w:p w14:paraId="001000C0" w14:textId="001000C1">
            <w:pPr>
              <w:pStyle w:val="Compact"/>
              <w:jc w:val="right"/>
            </w:pPr>
            <w:r>
              <w:t xml:space="preserve">Forgetting</w:t>
            </w:r>
          </w:p>
        </w:tc>
      </w:tr>
      <w:tr>
        <w:tc>
          <w:tcPr/>
          <w:p w14:paraId="001000C2" w14:textId="001000C3">
            <w:pPr>
              <w:pStyle w:val="Compact"/>
            </w:pPr>
            <w:r>
              <w:t xml:space="preserve">MalayaNetwork_GT</w:t>
            </w:r>
          </w:p>
        </w:tc>
        <w:tc>
          <w:tcPr/>
          <w:p w14:paraId="001000C4" w14:textId="001000C5">
            <w:pPr>
              <w:pStyle w:val="Compact"/>
            </w:pPr>
            <w:r>
              <w:t xml:space="preserve">Joint full</w:t>
            </w:r>
          </w:p>
        </w:tc>
        <w:tc>
          <w:tcPr/>
          <w:p w14:paraId="001000C6" w14:textId="001000C7">
            <w:pPr>
              <w:pStyle w:val="Compact"/>
              <w:jc w:val="right"/>
            </w:pPr>
            <w:r>
              <w:t xml:space="preserve">56.14% +/- 3.00</w:t>
            </w:r>
          </w:p>
        </w:tc>
        <w:tc>
          <w:tcPr/>
          <w:p w14:paraId="001000C8" w14:textId="001000C9">
            <w:pPr>
              <w:pStyle w:val="Compact"/>
              <w:jc w:val="right"/>
            </w:pPr>
            <w:r>
              <w:t xml:space="preserve">21.04% +/- 3.85</w:t>
            </w:r>
          </w:p>
        </w:tc>
        <w:tc>
          <w:tcPr/>
          <w:p w14:paraId="001000CA" w14:textId="001000CB">
            <w:pPr>
              <w:pStyle w:val="Compact"/>
              <w:jc w:val="right"/>
            </w:pPr>
            <w:r>
              <w:t xml:space="preserve">22.89% +/- 3.92</w:t>
            </w:r>
          </w:p>
        </w:tc>
        <w:tc>
          <w:tcPr/>
          <w:p w14:paraId="001000CC" w14:textId="001000CD">
            <w:pPr>
              <w:pStyle w:val="Compact"/>
              <w:jc w:val="right"/>
            </w:pPr>
            <w:r>
              <w:t xml:space="preserve">3.23 +/- 0.88 pp</w:t>
            </w:r>
          </w:p>
        </w:tc>
      </w:tr>
      <w:tr>
        <w:tc>
          <w:tcPr/>
          <w:p w14:paraId="001000CE" w14:textId="001000CF">
            <w:pPr>
              <w:pStyle w:val="Compact"/>
            </w:pPr>
            <w:r>
              <w:t xml:space="preserve">MalayaNetwork_GT</w:t>
            </w:r>
          </w:p>
        </w:tc>
        <w:tc>
          <w:tcPr/>
          <w:p w14:paraId="001000D0" w14:textId="001000D1">
            <w:pPr>
              <w:pStyle w:val="Compact"/>
            </w:pPr>
            <w:r>
              <w:t xml:space="preserve">Joint cap 3,000</w:t>
            </w:r>
          </w:p>
        </w:tc>
        <w:tc>
          <w:tcPr/>
          <w:p w14:paraId="001000D2" w14:textId="001000D3">
            <w:pPr>
              <w:pStyle w:val="Compact"/>
              <w:jc w:val="right"/>
            </w:pPr>
            <w:r>
              <w:t xml:space="preserve">54.37% +/- 3.02</w:t>
            </w:r>
          </w:p>
        </w:tc>
        <w:tc>
          <w:tcPr/>
          <w:p w14:paraId="001000D4" w14:textId="001000D5">
            <w:pPr>
              <w:pStyle w:val="Compact"/>
              <w:jc w:val="right"/>
            </w:pPr>
            <w:r>
              <w:t xml:space="preserve">20.70% +/- 3.72</w:t>
            </w:r>
          </w:p>
        </w:tc>
        <w:tc>
          <w:tcPr/>
          <w:p w14:paraId="001000D6" w14:textId="001000D7">
            <w:pPr>
              <w:pStyle w:val="Compact"/>
              <w:jc w:val="right"/>
            </w:pPr>
            <w:r>
              <w:t xml:space="preserve">22.70% +/- 3.86</w:t>
            </w:r>
          </w:p>
        </w:tc>
        <w:tc>
          <w:tcPr/>
          <w:p w14:paraId="001000D8" w14:textId="001000D9">
            <w:pPr>
              <w:pStyle w:val="Compact"/>
              <w:jc w:val="right"/>
            </w:pPr>
            <w:r>
              <w:t xml:space="preserve">3.79 +/- 0.64 pp</w:t>
            </w:r>
          </w:p>
        </w:tc>
      </w:tr>
      <w:tr>
        <w:tc>
          <w:tcPr/>
          <w:p w14:paraId="001000DA" w14:textId="001000DB">
            <w:pPr>
              <w:pStyle w:val="Compact"/>
            </w:pPr>
            <w:r>
              <w:t xml:space="preserve">NSL-KDD</w:t>
            </w:r>
          </w:p>
        </w:tc>
        <w:tc>
          <w:tcPr/>
          <w:p w14:paraId="001000DC" w14:textId="001000DD">
            <w:pPr>
              <w:pStyle w:val="Compact"/>
            </w:pPr>
            <w:r>
              <w:t xml:space="preserve">Joint full</w:t>
            </w:r>
          </w:p>
        </w:tc>
        <w:tc>
          <w:tcPr/>
          <w:p w14:paraId="001000DE" w14:textId="001000DF">
            <w:pPr>
              <w:pStyle w:val="Compact"/>
              <w:jc w:val="right"/>
            </w:pPr>
            <w:r>
              <w:t xml:space="preserve">68.51% +/- 2.87</w:t>
            </w:r>
          </w:p>
        </w:tc>
        <w:tc>
          <w:tcPr/>
          <w:p w14:paraId="001000E0" w14:textId="001000E1">
            <w:pPr>
              <w:pStyle w:val="Compact"/>
              <w:jc w:val="right"/>
            </w:pPr>
            <w:r>
              <w:t xml:space="preserve">38.32% +/- 2.97</w:t>
            </w:r>
          </w:p>
        </w:tc>
        <w:tc>
          <w:tcPr/>
          <w:p w14:paraId="001000E2" w14:textId="001000E3">
            <w:pPr>
              <w:pStyle w:val="Compact"/>
              <w:jc w:val="right"/>
            </w:pPr>
            <w:r>
              <w:t xml:space="preserve">40.44% +/- 2.83</w:t>
            </w:r>
          </w:p>
        </w:tc>
        <w:tc>
          <w:tcPr/>
          <w:p w14:paraId="001000E4" w14:textId="001000E5">
            <w:pPr>
              <w:pStyle w:val="Compact"/>
              <w:jc w:val="right"/>
            </w:pPr>
            <w:r>
              <w:t xml:space="preserve">2.60 +/- 1.15 pp</w:t>
            </w:r>
          </w:p>
        </w:tc>
      </w:tr>
      <w:tr>
        <w:tc>
          <w:tcPr/>
          <w:p w14:paraId="001000E6" w14:textId="001000E7">
            <w:pPr>
              <w:pStyle w:val="Compact"/>
            </w:pPr>
            <w:r>
              <w:t xml:space="preserve">NSL-KDD</w:t>
            </w:r>
          </w:p>
        </w:tc>
        <w:tc>
          <w:tcPr/>
          <w:p w14:paraId="001000E8" w14:textId="001000E9">
            <w:pPr>
              <w:pStyle w:val="Compact"/>
            </w:pPr>
            <w:r>
              <w:t xml:space="preserve">Joint cap 3,000</w:t>
            </w:r>
          </w:p>
        </w:tc>
        <w:tc>
          <w:tcPr/>
          <w:p w14:paraId="001000EA" w14:textId="001000EB">
            <w:pPr>
              <w:pStyle w:val="Compact"/>
              <w:jc w:val="right"/>
            </w:pPr>
            <w:r>
              <w:t xml:space="preserve">69.07% +/- 3.38</w:t>
            </w:r>
          </w:p>
        </w:tc>
        <w:tc>
          <w:tcPr/>
          <w:p w14:paraId="001000EC" w14:textId="001000ED">
            <w:pPr>
              <w:pStyle w:val="Compact"/>
              <w:jc w:val="right"/>
            </w:pPr>
            <w:r>
              <w:t xml:space="preserve">38.81% +/- 3.04</w:t>
            </w:r>
          </w:p>
        </w:tc>
        <w:tc>
          <w:tcPr/>
          <w:p w14:paraId="001000EE" w14:textId="001000EF">
            <w:pPr>
              <w:pStyle w:val="Compact"/>
              <w:jc w:val="right"/>
            </w:pPr>
            <w:r>
              <w:t xml:space="preserve">40.87% +/- 2.96</w:t>
            </w:r>
          </w:p>
        </w:tc>
        <w:tc>
          <w:tcPr/>
          <w:p w14:paraId="001000F0" w14:textId="001000F1">
            <w:pPr>
              <w:pStyle w:val="Compact"/>
              <w:jc w:val="right"/>
            </w:pPr>
            <w:r>
              <w:t xml:space="preserve">2.38 +/- 1.34 pp</w:t>
            </w:r>
          </w:p>
        </w:tc>
      </w:tr>
    </w:tbl>
    <w:p w14:paraId="001000F2" w14:textId="001000F3">
      <w:pPr>
        <w:pStyle w:val="BodyText"/>
      </w:pPr>
      <w:r>
        <w:t xml:space="preserve">The low Malaya Macro-F1 and balanced accuracy show that its moderate overall</w:t>
      </w:r>
      <w:r>
        <w:t xml:space="preserve"> </w:t>
      </w:r>
      <w:r>
        <w:t xml:space="preserve">accuracy is driven by uneven class performance. The result must not be</w:t>
      </w:r>
      <w:r>
        <w:t xml:space="preserve"> </w:t>
      </w:r>
      <w:r>
        <w:t xml:space="preserve">summarized by overall accuracy alone. The high between-seed variability in the</w:t>
      </w:r>
      <w:r>
        <w:t xml:space="preserve"> </w:t>
      </w:r>
      <w:r>
        <w:t xml:space="preserve">NSL head-only arm also shows that conclusions must be based on paired,</w:t>
      </w:r>
      <w:r>
        <w:t xml:space="preserve"> </w:t>
      </w:r>
      <w:r>
        <w:t xml:space="preserve">multi-seed comparisons rather than one favorable run.</w:t>
      </w:r>
    </w:p>
    <w:p w14:paraId="001000F4" w14:textId="001000F5">
      <w:pPr>
        <w:pStyle w:val="BodyText"/>
      </w:pPr>
      <w:r>
        <w:t xml:space="preserve">The completed Malaya seed-1 explanation analysis reported 12 silent-drift</w:t>
      </w:r>
      <w:r>
        <w:t xml:space="preserve"> </w:t>
      </w:r>
      <w:r>
        <w:t xml:space="preserve">events among 17 eligible transitions (70.59%). ETG recorded six certified</w:t>
      </w:r>
      <w:r>
        <w:t xml:space="preserve"> </w:t>
      </w:r>
      <w:r>
        <w:t xml:space="preserve">admissions, four refused admissions, four escalations, one strict</w:t>
      </w:r>
      <w:r>
        <w:t xml:space="preserve"> </w:t>
      </w:r>
      <w:r>
        <w:t xml:space="preserve">recertification, and two strict-recertification failures.</w:t>
      </w:r>
    </w:p>
    <w:bookmarkStart w:name="Xc61f06045b369078085469c2d5d2b9fdea247b6" w:id="23"/>
    <w:p w14:paraId="001000F6" w14:textId="001000F7">
      <w:pPr>
        <w:pStyle w:val="Heading3"/>
      </w:pPr>
      <w:r>
        <w:t xml:space="preserve">8.1 Additive classifier comparisons on MalayaNetwork_GT</w:t>
      </w:r>
    </w:p>
    <w:p w14:paraId="001000F8" w14:textId="001000F9">
      <w:pPr>
        <w:pStyle w:val="FirstParagraph"/>
      </w:pPr>
      <w:r>
        <w:t xml:space="preserve">The TabM mean-embedding adapter has completed the full OFRA prediction</w:t>
      </w:r>
      <w:r>
        <w:t xml:space="preserve"> </w:t>
      </w:r>
      <w:r>
        <w:t xml:space="preserve">pipeline for seeds</w:t>
      </w:r>
      <w:r>
        <w:t xml:space="preserve"> </w:t>
      </w:r>
      <w:r>
        <w:rPr>
          <w:rStyle w:val="VerbatimChar"/>
        </w:rPr>
        <w:t xml:space="preserve">1, 2, 3, 4, 42</w:t>
      </w:r>
      <w:r>
        <w:t xml:space="preserve">. The table reports the official test view;</w:t>
      </w:r>
      <w:r>
        <w:t xml:space="preserve"> </w:t>
      </w:r>
      <w:r>
        <w:t xml:space="preserve">all values are mean +/- sample standard deviation.</w:t>
      </w:r>
    </w:p>
    <w:tbl>
      <w:tblPr>
        <w:tblStyle w:val="Table"/>
        <w:tblW w:w="5000" w:type="pct"/>
        <w:tblLayout w:type="fixed"/>
        <w:tblLook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 w14:paraId="001000FA" w14:textId="001000FB">
            <w:pPr>
              <w:pStyle w:val="Compact"/>
            </w:pPr>
            <w:r>
              <w:t xml:space="preserve">TabM-OFRA arm</w:t>
            </w:r>
          </w:p>
        </w:tc>
        <w:tc>
          <w:tcPr/>
          <w:p w14:paraId="001000FC" w14:textId="001000FD"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 w14:paraId="001000FE" w14:textId="001000FF">
            <w:pPr>
              <w:pStyle w:val="Compact"/>
              <w:jc w:val="right"/>
            </w:pPr>
            <w:r>
              <w:t xml:space="preserve">Macro-F1</w:t>
            </w:r>
          </w:p>
        </w:tc>
        <w:tc>
          <w:tcPr/>
          <w:p w14:paraId="00100100" w14:textId="00100101">
            <w:pPr>
              <w:pStyle w:val="Compact"/>
              <w:jc w:val="right"/>
            </w:pPr>
            <w:r>
              <w:t xml:space="preserve">Balanced accuracy</w:t>
            </w:r>
          </w:p>
        </w:tc>
        <w:tc>
          <w:tcPr/>
          <w:p w14:paraId="00100102" w14:textId="00100103">
            <w:pPr>
              <w:pStyle w:val="Compact"/>
              <w:jc w:val="right"/>
            </w:pPr>
            <w:r>
              <w:t xml:space="preserve">Forgetting</w:t>
            </w:r>
          </w:p>
        </w:tc>
      </w:tr>
      <w:tr>
        <w:tc>
          <w:tcPr/>
          <w:p w14:paraId="00100104" w14:textId="00100105">
            <w:pPr>
              <w:pStyle w:val="Compact"/>
            </w:pPr>
            <w:r>
              <w:t xml:space="preserve">Head only</w:t>
            </w:r>
          </w:p>
        </w:tc>
        <w:tc>
          <w:tcPr/>
          <w:p w14:paraId="00100106" w14:textId="00100107">
            <w:pPr>
              <w:pStyle w:val="Compact"/>
              <w:jc w:val="right"/>
            </w:pPr>
            <w:r>
              <w:t xml:space="preserve">56.17% +/- 1.79</w:t>
            </w:r>
          </w:p>
        </w:tc>
        <w:tc>
          <w:tcPr/>
          <w:p w14:paraId="00100108" w14:textId="00100109">
            <w:pPr>
              <w:pStyle w:val="Compact"/>
              <w:jc w:val="right"/>
            </w:pPr>
            <w:r>
              <w:t xml:space="preserve">11.11% +/- 1.99</w:t>
            </w:r>
          </w:p>
        </w:tc>
        <w:tc>
          <w:tcPr/>
          <w:p w14:paraId="0010010A" w14:textId="0010010B">
            <w:pPr>
              <w:pStyle w:val="Compact"/>
              <w:jc w:val="right"/>
            </w:pPr>
            <w:r>
              <w:t xml:space="preserve">14.43% +/- 2.35</w:t>
            </w:r>
          </w:p>
        </w:tc>
        <w:tc>
          <w:tcPr/>
          <w:p w14:paraId="0010010C" w14:textId="0010010D">
            <w:pPr>
              <w:pStyle w:val="Compact"/>
              <w:jc w:val="right"/>
            </w:pPr>
            <w:r>
              <w:t xml:space="preserve">0.61 +/- 0.46 pp</w:t>
            </w:r>
          </w:p>
        </w:tc>
      </w:tr>
      <w:tr>
        <w:tc>
          <w:tcPr/>
          <w:p w14:paraId="0010010E" w14:textId="0010010F">
            <w:pPr>
              <w:pStyle w:val="Compact"/>
            </w:pPr>
            <w:r>
              <w:t xml:space="preserve">Router only, cap 3,000</w:t>
            </w:r>
          </w:p>
        </w:tc>
        <w:tc>
          <w:tcPr/>
          <w:p w14:paraId="00100110" w14:textId="00100111">
            <w:pPr>
              <w:pStyle w:val="Compact"/>
              <w:jc w:val="right"/>
            </w:pPr>
            <w:r>
              <w:t xml:space="preserve">40.15% +/- 3.49</w:t>
            </w:r>
          </w:p>
        </w:tc>
        <w:tc>
          <w:tcPr/>
          <w:p w14:paraId="00100112" w14:textId="00100113">
            <w:pPr>
              <w:pStyle w:val="Compact"/>
              <w:jc w:val="right"/>
            </w:pPr>
            <w:r>
              <w:t xml:space="preserve">17.44% +/- 1.44</w:t>
            </w:r>
          </w:p>
        </w:tc>
        <w:tc>
          <w:tcPr/>
          <w:p w14:paraId="00100114" w14:textId="00100115">
            <w:pPr>
              <w:pStyle w:val="Compact"/>
              <w:jc w:val="right"/>
            </w:pPr>
            <w:r>
              <w:t xml:space="preserve">19.29% +/- 1.11</w:t>
            </w:r>
          </w:p>
        </w:tc>
        <w:tc>
          <w:tcPr/>
          <w:p w14:paraId="00100116" w14:textId="00100117">
            <w:pPr>
              <w:pStyle w:val="Compact"/>
              <w:jc w:val="right"/>
            </w:pPr>
            <w:r>
              <w:t xml:space="preserve">12.75 +/- 1.89 pp</w:t>
            </w:r>
          </w:p>
        </w:tc>
      </w:tr>
      <w:tr>
        <w:tc>
          <w:tcPr/>
          <w:p w14:paraId="00100118" w14:textId="00100119">
            <w:pPr>
              <w:pStyle w:val="Compact"/>
            </w:pPr>
            <w:r>
              <w:t xml:space="preserve">Joint, cap 3,000</w:t>
            </w:r>
          </w:p>
        </w:tc>
        <w:tc>
          <w:tcPr/>
          <w:p w14:paraId="0010011A" w14:textId="0010011B">
            <w:pPr>
              <w:pStyle w:val="Compact"/>
              <w:jc w:val="right"/>
            </w:pPr>
            <w:r>
              <w:t xml:space="preserve">57.99% +/- 3.93</w:t>
            </w:r>
          </w:p>
        </w:tc>
        <w:tc>
          <w:tcPr/>
          <w:p w14:paraId="0010011C" w14:textId="0010011D">
            <w:pPr>
              <w:pStyle w:val="Compact"/>
              <w:jc w:val="right"/>
            </w:pPr>
            <w:r>
              <w:t xml:space="preserve">20.46% +/- 1.19</w:t>
            </w:r>
          </w:p>
        </w:tc>
        <w:tc>
          <w:tcPr/>
          <w:p w14:paraId="0010011E" w14:textId="0010011F">
            <w:pPr>
              <w:pStyle w:val="Compact"/>
              <w:jc w:val="right"/>
            </w:pPr>
            <w:r>
              <w:t xml:space="preserve">21.60% +/- 1.70</w:t>
            </w:r>
          </w:p>
        </w:tc>
        <w:tc>
          <w:tcPr/>
          <w:p w14:paraId="00100120" w14:textId="00100121">
            <w:pPr>
              <w:pStyle w:val="Compact"/>
              <w:jc w:val="right"/>
            </w:pPr>
            <w:r>
              <w:t xml:space="preserve">4.39 +/- 2.56 pp</w:t>
            </w:r>
          </w:p>
        </w:tc>
      </w:tr>
      <w:tr>
        <w:tc>
          <w:tcPr/>
          <w:p w14:paraId="00100122" w14:textId="00100123">
            <w:pPr>
              <w:pStyle w:val="Compact"/>
            </w:pPr>
            <w:r>
              <w:t xml:space="preserve">Joint, uncapped</w:t>
            </w:r>
          </w:p>
        </w:tc>
        <w:tc>
          <w:tcPr/>
          <w:p w14:paraId="00100124" w14:textId="00100125">
            <w:pPr>
              <w:pStyle w:val="Compact"/>
              <w:jc w:val="right"/>
            </w:pPr>
            <w:r>
              <w:t xml:space="preserve">57.93% +/- 3.84</w:t>
            </w:r>
          </w:p>
        </w:tc>
        <w:tc>
          <w:tcPr/>
          <w:p w14:paraId="00100126" w14:textId="00100127">
            <w:pPr>
              <w:pStyle w:val="Compact"/>
              <w:jc w:val="right"/>
            </w:pPr>
            <w:r>
              <w:t xml:space="preserve">20.34% +/- 1.31</w:t>
            </w:r>
          </w:p>
        </w:tc>
        <w:tc>
          <w:tcPr/>
          <w:p w14:paraId="00100128" w14:textId="00100129">
            <w:pPr>
              <w:pStyle w:val="Compact"/>
              <w:jc w:val="right"/>
            </w:pPr>
            <w:r>
              <w:t xml:space="preserve">21.48% +/- 1.87</w:t>
            </w:r>
          </w:p>
        </w:tc>
        <w:tc>
          <w:tcPr/>
          <w:p w14:paraId="0010012A" w14:textId="0010012B">
            <w:pPr>
              <w:pStyle w:val="Compact"/>
              <w:jc w:val="right"/>
            </w:pPr>
            <w:r>
              <w:t xml:space="preserve">4.33 +/- 2.39 pp</w:t>
            </w:r>
          </w:p>
        </w:tc>
      </w:tr>
    </w:tbl>
    <w:p w14:paraId="0010012C" w14:textId="0010012D">
      <w:pPr>
        <w:pStyle w:val="BodyText"/>
      </w:pPr>
      <w:r>
        <w:t xml:space="preserve">The existing FT-Transformer 512x12 result contains only seeds</w:t>
      </w:r>
      <w:r>
        <w:t xml:space="preserve"> </w:t>
      </w:r>
      <w:r>
        <w:rPr>
          <w:rStyle w:val="VerbatimChar"/>
        </w:rPr>
        <w:t xml:space="preserve">1-4</w:t>
      </w:r>
      <w:r>
        <w:t xml:space="preserve">, so the</w:t>
      </w:r>
      <w:r>
        <w:t xml:space="preserve"> </w:t>
      </w:r>
      <w:r>
        <w:t xml:space="preserve">matched comparison uses those four common seeds. For</w:t>
      </w:r>
      <w:r>
        <w:t xml:space="preserve"> </w:t>
      </w:r>
      <w:r>
        <w:rPr>
          <w:rStyle w:val="VerbatimChar"/>
        </w:rPr>
        <w:t xml:space="preserve">joint_cap3000</w:t>
      </w:r>
      <w:r>
        <w:t xml:space="preserve">, TabM</w:t>
      </w:r>
      <w:r>
        <w:t xml:space="preserve"> </w:t>
      </w:r>
      <w:r>
        <w:t xml:space="preserve">raises accuracy from 54.37% to 59.59% (+5.23 percentage points) and Macro-F1</w:t>
      </w:r>
      <w:r>
        <w:t xml:space="preserve"> </w:t>
      </w:r>
      <w:r>
        <w:t xml:space="preserve">from 20.70% to 20.85% (+0.15 points), while balanced accuracy changes from</w:t>
      </w:r>
      <w:r>
        <w:t xml:space="preserve"> </w:t>
      </w:r>
      <w:r>
        <w:t xml:space="preserve">22.70% to 22.06% (-0.64 points) and forgetting is essentially unchanged</w:t>
      </w:r>
      <w:r>
        <w:t xml:space="preserve"> </w:t>
      </w:r>
      <w:r>
        <w:t xml:space="preserve">(3.79 versus 3.78 points). The gain is therefore mainly aggregate accuracy,</w:t>
      </w:r>
      <w:r>
        <w:t xml:space="preserve"> </w:t>
      </w:r>
      <w:r>
        <w:t xml:space="preserve">not broad class-balanced improvement.</w:t>
      </w:r>
    </w:p>
    <w:p w14:paraId="0010012E" w14:textId="0010012F">
      <w:pPr>
        <w:pStyle w:val="BodyText"/>
      </w:pPr>
      <w:r>
        <w:t xml:space="preserve">The class audit explains this result. BitTorrent accounts for 5,537 of 10,370</w:t>
      </w:r>
      <w:r>
        <w:t xml:space="preserve"> </w:t>
      </w:r>
      <w:r>
        <w:t xml:space="preserve">test rows (53.39%), and its mean recall over the four common seeds rises by</w:t>
      </w:r>
      <w:r>
        <w:t xml:space="preserve"> </w:t>
      </w:r>
      <w:r>
        <w:t xml:space="preserve">10.54 points with TabM. Recall falls for Steam (-21.25 points), TeamViewer</w:t>
      </w:r>
      <w:r>
        <w:t xml:space="preserve"> </w:t>
      </w:r>
      <w:r>
        <w:t xml:space="preserve">(-11.57), Discord (-6.83), and Webex (-3.79). The five-seed TabM result cannot</w:t>
      </w:r>
      <w:r>
        <w:t xml:space="preserve"> </w:t>
      </w:r>
      <w:r>
        <w:t xml:space="preserve">be summarized as an across-the-board improvement.</w:t>
      </w:r>
    </w:p>
    <w:p w14:paraId="00100130" w14:textId="00100131">
      <w:pPr>
        <w:pStyle w:val="BodyText"/>
      </w:pPr>
      <w:r>
        <w:t xml:space="preserve">Matched cumulative multiclass diagnostics over seeds</w:t>
      </w:r>
      <w:r>
        <w:t xml:space="preserve"> </w:t>
      </w:r>
      <w:r>
        <w:rPr>
          <w:rStyle w:val="VerbatimChar"/>
        </w:rPr>
        <w:t xml:space="preserve">1, 2, 3, 4, 42</w:t>
      </w:r>
      <w:r>
        <w:t xml:space="preserve"> </w:t>
      </w:r>
      <w:r>
        <w:t xml:space="preserve">give</w:t>
      </w:r>
      <w:r>
        <w:t xml:space="preserve"> </w:t>
      </w:r>
      <w:r>
        <w:t xml:space="preserve">CatBoost 66.50% +/- 0.44 accuracy, 34.76% +/- 0.69 Macro-F1, 39.10% +/- 0.73</w:t>
      </w:r>
      <w:r>
        <w:t xml:space="preserve"> </w:t>
      </w:r>
      <w:r>
        <w:t xml:space="preserve">balanced accuracy, and 15.34 +/- 0.73 points of forgetting. The corresponding</w:t>
      </w:r>
      <w:r>
        <w:t xml:space="preserve"> </w:t>
      </w:r>
      <w:r>
        <w:t xml:space="preserve">cumulative TabM values are 65.01% +/- 0.96, 32.66% +/- 1.31, 34.41% +/- 1.51,</w:t>
      </w:r>
      <w:r>
        <w:t xml:space="preserve"> </w:t>
      </w:r>
      <w:r>
        <w:t xml:space="preserve">and 9.43 +/- 1.80 points. These cumulative results are classifier-capacity</w:t>
      </w:r>
      <w:r>
        <w:t xml:space="preserve"> </w:t>
      </w:r>
      <w:r>
        <w:t xml:space="preserve">diagnostics and are not matched OFRA comparisons.</w:t>
      </w:r>
    </w:p>
    <w:bookmarkEnd w:id="23"/>
    <w:bookmarkEnd w:id="24"/>
    <w:bookmarkStart w:name="what-is-complete-and-what-remains-open" w:id="25"/>
    <w:p w14:paraId="00100132" w14:textId="00100133">
      <w:pPr>
        <w:pStyle w:val="Heading2"/>
      </w:pPr>
      <w:r>
        <w:t xml:space="preserve">9. What is complete and what remains open</w:t>
      </w:r>
    </w:p>
    <w:p w14:paraId="00100134" w14:textId="00100135">
      <w:pPr>
        <w:pStyle w:val="FirstParagraph"/>
      </w:pPr>
      <w:r>
        <w:t xml:space="preserve">Completed in this release:</w:t>
      </w:r>
    </w:p>
    <w:p w14:paraId="00100136" w14:textId="00100137">
      <w:pPr>
        <w:pStyle w:val="Compact"/>
        <w:numPr>
          <w:ilvl w:val="0"/>
          <w:numId w:val="1004"/>
        </w:numPr>
      </w:pPr>
      <w:r>
        <w:t xml:space="preserve">large-model MalayaNetwork_GT seeds 1-4;</w:t>
      </w:r>
    </w:p>
    <w:p w14:paraId="00100138" w14:textId="00100139">
      <w:pPr>
        <w:pStyle w:val="Compact"/>
        <w:numPr>
          <w:ilvl w:val="0"/>
          <w:numId w:val="1004"/>
        </w:numPr>
      </w:pPr>
      <w:r>
        <w:t xml:space="preserve">large-model NSL-KDD seeds 1-4;</w:t>
      </w:r>
    </w:p>
    <w:p w14:paraId="0010013A" w14:textId="0010013B">
      <w:pPr>
        <w:pStyle w:val="Compact"/>
        <w:numPr>
          <w:ilvl w:val="0"/>
          <w:numId w:val="1004"/>
        </w:numPr>
      </w:pPr>
      <w:r>
        <w:t xml:space="preserve">TabM mean-embedding OFRA prediction results on MalayaNetwork_GT for seeds</w:t>
      </w:r>
      <w:r>
        <w:t xml:space="preserve"> </w:t>
      </w:r>
      <w:r>
        <w:rPr>
          <w:rStyle w:val="VerbatimChar"/>
        </w:rPr>
        <w:t xml:space="preserve">1, 2, 3, 4, 42</w:t>
      </w:r>
      <w:r>
        <w:t xml:space="preserve">;</w:t>
      </w:r>
    </w:p>
    <w:p w14:paraId="0010013C" w14:textId="0010013D">
      <w:pPr>
        <w:pStyle w:val="Compact"/>
        <w:numPr>
          <w:ilvl w:val="0"/>
          <w:numId w:val="1004"/>
        </w:numPr>
      </w:pPr>
      <w:r>
        <w:t xml:space="preserve">matched cumulative CatBoost and TabM diagnostics on MalayaNetwork_GT for the</w:t>
      </w:r>
      <w:r>
        <w:t xml:space="preserve"> </w:t>
      </w:r>
      <w:r>
        <w:t xml:space="preserve">same five seeds;</w:t>
      </w:r>
    </w:p>
    <w:p w14:paraId="0010013E" w14:textId="0010013F">
      <w:pPr>
        <w:pStyle w:val="Compact"/>
        <w:numPr>
          <w:ilvl w:val="0"/>
          <w:numId w:val="1004"/>
        </w:numPr>
      </w:pPr>
      <w:r>
        <w:t xml:space="preserve">Malaya seed-1 SHAP and ETG analysis from completed DICC Job 389896;</w:t>
      </w:r>
    </w:p>
    <w:p w14:paraId="00100140" w14:textId="00100141">
      <w:pPr>
        <w:pStyle w:val="Compact"/>
        <w:numPr>
          <w:ilvl w:val="0"/>
          <w:numId w:val="1004"/>
        </w:numPr>
      </w:pPr>
      <w:r>
        <w:t xml:space="preserve">CSE-CIC-IDS2018 A100 capacity evidence;</w:t>
      </w:r>
    </w:p>
    <w:p w14:paraId="00100142" w14:textId="00100143">
      <w:pPr>
        <w:pStyle w:val="Compact"/>
        <w:numPr>
          <w:ilvl w:val="0"/>
          <w:numId w:val="1004"/>
        </w:numPr>
      </w:pPr>
      <w:r>
        <w:t xml:space="preserve">executable preprocessing contracts for the five-dataset suite;</w:t>
      </w:r>
    </w:p>
    <w:p w14:paraId="00100144" w14:textId="00100145">
      <w:pPr>
        <w:pStyle w:val="Compact"/>
        <w:numPr>
          <w:ilvl w:val="0"/>
          <w:numId w:val="1004"/>
        </w:numPr>
      </w:pPr>
      <w:r>
        <w:t xml:space="preserve">deterministic result, source-binding, and publication hashes.</w:t>
      </w:r>
    </w:p>
    <w:p w14:paraId="00100146" w14:textId="00100147">
      <w:pPr>
        <w:pStyle w:val="FirstParagraph"/>
      </w:pPr>
      <w:r>
        <w:t xml:space="preserve">Not yet complete:</w:t>
      </w:r>
    </w:p>
    <w:p w14:paraId="00100148" w14:textId="00100149">
      <w:pPr>
        <w:pStyle w:val="Compact"/>
        <w:numPr>
          <w:ilvl w:val="0"/>
          <w:numId w:val="1005"/>
        </w:numPr>
      </w:pPr>
      <w:r>
        <w:t xml:space="preserve">the fifth registered FT-Transformer 512x12 seed for MalayaNetwork_GT and</w:t>
      </w:r>
      <w:r>
        <w:t xml:space="preserve"> </w:t>
      </w:r>
      <w:r>
        <w:t xml:space="preserve">NSL-KDD;</w:t>
      </w:r>
    </w:p>
    <w:p w14:paraId="0010014A" w14:textId="0010014B">
      <w:pPr>
        <w:pStyle w:val="Compact"/>
        <w:numPr>
          <w:ilvl w:val="0"/>
          <w:numId w:val="1005"/>
        </w:numPr>
      </w:pPr>
      <w:r>
        <w:t xml:space="preserve">new FT-Transformer 512x12 formal results for CIC-IDS-2017, UNSW-NB15, and</w:t>
      </w:r>
      <w:r>
        <w:t xml:space="preserve"> </w:t>
      </w:r>
      <w:r>
        <w:t xml:space="preserve">CSE-CIC-IDS2018;</w:t>
      </w:r>
    </w:p>
    <w:p w14:paraId="0010014C" w14:textId="0010014D">
      <w:pPr>
        <w:pStyle w:val="Compact"/>
        <w:numPr>
          <w:ilvl w:val="0"/>
          <w:numId w:val="1005"/>
        </w:numPr>
      </w:pPr>
      <w:r>
        <w:t xml:space="preserve">SHAP and ETG analysis for the TabM arm; the current TabM result covers the</w:t>
      </w:r>
      <w:r>
        <w:t xml:space="preserve"> </w:t>
      </w:r>
      <w:r>
        <w:t xml:space="preserve">prediction pipeline only;</w:t>
      </w:r>
    </w:p>
    <w:p w14:paraId="0010014E" w14:textId="0010014F">
      <w:pPr>
        <w:pStyle w:val="Compact"/>
        <w:numPr>
          <w:ilvl w:val="0"/>
          <w:numId w:val="1005"/>
        </w:numPr>
      </w:pPr>
      <w:r>
        <w:t xml:space="preserve">multi-seed SHAP and ETG estimates;</w:t>
      </w:r>
    </w:p>
    <w:p w14:paraId="00100150" w14:textId="00100151">
      <w:pPr>
        <w:pStyle w:val="Compact"/>
        <w:numPr>
          <w:ilvl w:val="0"/>
          <w:numId w:val="1005"/>
        </w:numPr>
      </w:pPr>
      <w:r>
        <w:t xml:space="preserve">inferential tests supporting superiority claims;</w:t>
      </w:r>
    </w:p>
    <w:p w14:paraId="00100152" w14:textId="00100153">
      <w:pPr>
        <w:pStyle w:val="Compact"/>
        <w:numPr>
          <w:ilvl w:val="0"/>
          <w:numId w:val="1005"/>
        </w:numPr>
      </w:pPr>
      <w:r>
        <w:t xml:space="preserve">a deployed feedback loop in which ETG decisions alter future OFRA routing or</w:t>
      </w:r>
      <w:r>
        <w:t xml:space="preserve"> </w:t>
      </w:r>
      <w:r>
        <w:t xml:space="preserve">training.</w:t>
      </w:r>
    </w:p>
    <w:p w14:paraId="00100154" w14:textId="00100155">
      <w:pPr>
        <w:pStyle w:val="FirstParagraph"/>
      </w:pPr>
      <w:r>
        <w:t xml:space="preserve">The available four-seed values are descriptive intermediate evidence. They are</w:t>
      </w:r>
      <w:r>
        <w:t xml:space="preserve"> </w:t>
      </w:r>
      <w:r>
        <w:t xml:space="preserve">appropriate for progress reporting and reproducibility review, but they are not</w:t>
      </w:r>
      <w:r>
        <w:t xml:space="preserve"> </w:t>
      </w:r>
      <w:r>
        <w:t xml:space="preserve">presented as a complete final-paper result table.</w:t>
      </w:r>
    </w:p>
    <w:bookmarkEnd w:id="25"/>
    <w:bookmarkStart w:name="reproducibility-and-file-map" w:id="26"/>
    <w:p w14:paraId="00100156" w14:textId="00100157">
      <w:pPr>
        <w:pStyle w:val="Heading2"/>
      </w:pPr>
      <w:r>
        <w:t xml:space="preserve">10. Reproducibility and file map</w:t>
      </w:r>
    </w:p>
    <w:p w14:paraId="00100158" w14:textId="00100159"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fullcache/</w:t>
      </w:r>
      <w:r>
        <w:t xml:space="preserve">: preprocessing and cache verification;</w:t>
      </w:r>
    </w:p>
    <w:p w14:paraId="0010015A" w14:textId="0010015B"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streaming_full/</w:t>
      </w:r>
      <w:r>
        <w:t xml:space="preserve">: current training, routing, evaluation, monitoring, and</w:t>
      </w:r>
      <w:r>
        <w:t xml:space="preserve"> </w:t>
      </w:r>
      <w:r>
        <w:t xml:space="preserve">recovery;</w:t>
      </w:r>
    </w:p>
    <w:p w14:paraId="0010015C" w14:textId="0010015D"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ofra_encoders/</w:t>
      </w:r>
      <w:r>
        <w:t xml:space="preserve">: FT-Transformer integration;</w:t>
      </w:r>
    </w:p>
    <w:p w14:paraId="0010015E" w14:textId="0010015F"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formal_v2_explanation_etg/</w:t>
      </w:r>
      <w:r>
        <w:t xml:space="preserve">: SHAP and ETG analyzer;</w:t>
      </w:r>
    </w:p>
    <w:p w14:paraId="00100160" w14:textId="00100161"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results/</w:t>
      </w:r>
      <w:r>
        <w:t xml:space="preserve">: per-seed JSON, four-seed aggregate, ETG tables, and capacity</w:t>
      </w:r>
      <w:r>
        <w:t xml:space="preserve"> </w:t>
      </w:r>
      <w:r>
        <w:t xml:space="preserve">profile;</w:t>
      </w:r>
    </w:p>
    <w:p w14:paraId="00100162" w14:textId="00100163"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results/classifier_comparisons/</w:t>
      </w:r>
      <w:r>
        <w:t xml:space="preserve">: bounded classifier-comparison summaries</w:t>
      </w:r>
      <w:r>
        <w:t xml:space="preserve"> </w:t>
      </w:r>
      <w:r>
        <w:t xml:space="preserve">and their interpretation limits;</w:t>
      </w:r>
    </w:p>
    <w:p w14:paraId="00100164" w14:textId="00100165"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EXPERIMENT_SCOPE_FREEZE_20260813.md</w:t>
      </w:r>
      <w:r>
        <w:t xml:space="preserve">: the frozen distinction between the</w:t>
      </w:r>
      <w:r>
        <w:t xml:space="preserve"> </w:t>
      </w:r>
      <w:r>
        <w:t xml:space="preserve">primary method, additive comparisons, and changes requiring a new protocol;</w:t>
      </w:r>
    </w:p>
    <w:p w14:paraId="00100166" w14:textId="00100167"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reproducibility/</w:t>
      </w:r>
      <w:r>
        <w:t xml:space="preserve">: exact runtime and analysis bindings;</w:t>
      </w:r>
    </w:p>
    <w:p w14:paraId="00100168" w14:textId="00100169"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SHA256SUMS.txt</w:t>
      </w:r>
      <w:r>
        <w:t xml:space="preserve">: SHA-256 for every published file other than the manifest</w:t>
      </w:r>
      <w:r>
        <w:t xml:space="preserve"> </w:t>
      </w:r>
      <w:r>
        <w:t xml:space="preserve">itself.</w:t>
      </w:r>
    </w:p>
    <w:p w14:paraId="0010016A" w14:textId="0010016B">
      <w:pPr>
        <w:pStyle w:val="FirstParagraph"/>
      </w:pPr>
      <w:r>
        <w:t xml:space="preserve">The authoritative quantitative records are the JSON and CSV artifacts under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. W&amp;B is used to observe runs and compare logged metrics, but the</w:t>
      </w:r>
      <w:r>
        <w:t xml:space="preserve"> </w:t>
      </w:r>
      <w:r>
        <w:t xml:space="preserve">repository artifacts and their hashes remain the reproducibility source of</w:t>
      </w:r>
      <w:r>
        <w:t xml:space="preserve"> </w:t>
      </w:r>
      <w:r>
        <w:t xml:space="preserve">record.</w:t>
      </w:r>
    </w:p>
    <w:bookmarkEnd w:id="26"/>
    <w:sectPr>
      <w:headerReference w:type="default" r:id="Rb14a9312b0744c9d"/>
      <w:footerReference w:type="default" r:id="Rf781855c09a44ca9"/>
      <w:pgSz w:w="11906" w:h="16838"/>
      <w:pgMar w:top="1080" w:right="1080" w:bottom="1080" w:lef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172" w14:textId="00100174">
    <w:pPr>
      <w:jc w:val="center"/>
    </w:pPr>
    <w:r>
      <w:rPr>
        <w:color w:val="5A646E"/>
        <w:sz w:val="16"/>
      </w:rPr>
      <w:t xml:space="preserve">WU LIQIANG | Page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ftr>
</file>

<file path=word/footnotes.xml><?xml version="1.0" encoding="utf-8"?>
<w:footnotes xmlns:w14="http://schemas.microsoft.com/office/word/2010/wordml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 xmlns:w14="http://schemas.microsoft.com/office/word/2010/wordml" w14:paraId="0010016C" w14:textId="0010016D">
      <w:r>
        <w:continuationSeparator/>
      </w:r>
    </w:p>
  </w:footnote>
  <w:footnote w:type="separator" w:id="-1">
    <w:p xmlns:w14="http://schemas.microsoft.com/office/word/2010/wordml" w14:paraId="0010016E" w14:textId="0010016F">
      <w:r>
        <w:separator/>
      </w:r>
    </w:p>
  </w:footnote>
</w:footnotes>
</file>

<file path=word/header1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170" w14:textId="00100171">
    <w:pPr>
      <w:jc w:val="right"/>
    </w:pPr>
    <w:r>
      <w:rPr>
        <w:color w:val="5A646E"/>
        <w:sz w:val="16"/>
      </w:rPr>
      <w:t xml:space="preserve">OFRA + ETG | Technical report v2.1 | 17 August 2026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/>
  <w:rsids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 xmlns:r="http://schemas.openxmlformats.org/officeDocument/2006/relationships" xmlns:w="http://schemas.openxmlformats.org/wordprocessingml/2006/main">
    <w:rPrDefault>
      <w:rPr>
        <w:rFonts w:ascii="Arial" w:hAnsi="Arial" w:eastAsia="Arial" w:cs="Arial"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xmlns:r="http://schemas.openxmlformats.org/officeDocument/2006/relationships" xmlns:w="http://schemas.openxmlformats.org/wordprocessingml/2006/main" w:defLockedState="0" w:defUIPriority="0" w:defSemiHidden="0" w:defUnhideWhenUsed="0" w:defQFormat="0" w:count="276"/>
  <w:style xmlns:r="http://schemas.openxmlformats.org/officeDocument/2006/relationships" xmlns:w="http://schemas.openxmlformats.org/wordprocessingml/2006/main" w:type="paragraph" w:styleId="Normal" w:default="1">
    <w:name w:val="Normal"/>
    <w:qFormat/>
  </w:style>
  <w:style xmlns:r="http://schemas.openxmlformats.org/officeDocument/2006/relationships" xmlns:w="http://schemas.openxmlformats.org/wordprocessingml/2006/main" w:type="paragraph" w:styleId="BodyText">
    <w:name w:val="Body Text"/>
    <w:basedOn w:val="Normal"/>
    <w:link w:val="BodyTextChar"/>
    <w:qFormat/>
    <w:pPr>
      <w:spacing w:before="180" w:after="180"/>
    </w:pPr>
  </w:style>
  <w:style xmlns:r="http://schemas.openxmlformats.org/officeDocument/2006/relationships" xmlns:w="http://schemas.openxmlformats.org/wordprocessingml/2006/main" w:type="paragraph" w:styleId="FirstParagraph" w:customStyle="1">
    <w:name w:val="First Paragraph"/>
    <w:basedOn w:val="BodyText"/>
    <w:next w:val="BodyText"/>
    <w:qFormat/>
  </w:style>
  <w:style xmlns:r="http://schemas.openxmlformats.org/officeDocument/2006/relationships" xmlns:w="http://schemas.openxmlformats.org/wordprocessingml/2006/main" w:type="paragraph" w:styleId="Compact" w:customStyle="1">
    <w:name w:val="Compact"/>
    <w:basedOn w:val="BodyText"/>
    <w:qFormat/>
    <w:pPr>
      <w:spacing w:before="36" w:after="36"/>
    </w:pPr>
  </w:style>
  <w:style xmlns:r="http://schemas.openxmlformats.org/officeDocument/2006/relationships" xmlns:w="http://schemas.openxmlformats.org/wordprocessingml/2006/main"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xmlns:r="http://schemas.openxmlformats.org/officeDocument/2006/relationships" xmlns:w="http://schemas.openxmlformats.org/wordprocessingml/2006/main"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xmlns:r="http://schemas.openxmlformats.org/officeDocument/2006/relationships" xmlns:w="http://schemas.openxmlformats.org/wordprocessingml/2006/main"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xmlns:r="http://schemas.openxmlformats.org/officeDocument/2006/relationships" xmlns:w="http://schemas.openxmlformats.org/wordprocessingml/2006/main"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xmlns:r="http://schemas.openxmlformats.org/officeDocument/2006/relationships" xmlns:w="http://schemas.openxmlformats.org/wordprocessingml/2006/main"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xmlns:r="http://schemas.openxmlformats.org/officeDocument/2006/relationships" xmlns:w="http://schemas.openxmlformats.org/wordprocessingml/2006/main"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xmlns:r="http://schemas.openxmlformats.org/officeDocument/2006/relationships" xmlns:w="http://schemas.openxmlformats.org/wordprocessingml/2006/main"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xmlns:r="http://schemas.openxmlformats.org/officeDocument/2006/relationships" xmlns:w="http://schemas.openxmlformats.org/wordprocessingml/2006/main"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xmlns:r="http://schemas.openxmlformats.org/officeDocument/2006/relationships" xmlns:w="http://schemas.openxmlformats.org/wordprocessingml/2006/main" w:type="paragraph" w:styleId="Bibliography">
    <w:name w:val="Bibliography"/>
    <w:basedOn w:val="Normal"/>
    <w:next w:val="Bibliography"/>
    <w:qFormat/>
    <w:pPr/>
    <w:rPr/>
  </w:style>
  <w:style xmlns:r="http://schemas.openxmlformats.org/officeDocument/2006/relationships" xmlns:w="http://schemas.openxmlformats.org/wordprocessingml/2006/main"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r="http://schemas.openxmlformats.org/officeDocument/2006/relationships" xmlns:w="http://schemas.openxmlformats.org/wordprocessingml/2006/main"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r="http://schemas.openxmlformats.org/officeDocument/2006/relationships" xmlns:w="http://schemas.openxmlformats.org/wordprocessingml/2006/main"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xmlns:r="http://schemas.openxmlformats.org/officeDocument/2006/relationships" xmlns:w="http://schemas.openxmlformats.org/wordprocessingml/2006/main"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xmlns:r="http://schemas.openxmlformats.org/officeDocument/2006/relationships" xmlns:w="http://schemas.openxmlformats.org/wordprocessingml/2006/main"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xmlns:r="http://schemas.openxmlformats.org/officeDocument/2006/relationships" xmlns:w="http://schemas.openxmlformats.org/wordprocessingml/2006/main"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xmlns:r="http://schemas.openxmlformats.org/officeDocument/2006/relationships" xmlns:w="http://schemas.openxmlformats.org/wordprocessingml/2006/main"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xmlns:r="http://schemas.openxmlformats.org/officeDocument/2006/relationships" xmlns:w="http://schemas.openxmlformats.org/wordprocessingml/2006/main"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xmlns:r="http://schemas.openxmlformats.org/officeDocument/2006/relationships" xmlns:w="http://schemas.openxmlformats.org/wordprocessingml/2006/main"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xmlns:r="http://schemas.openxmlformats.org/officeDocument/2006/relationships" xmlns:w="http://schemas.openxmlformats.org/wordprocessingml/2006/main"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r="http://schemas.openxmlformats.org/officeDocument/2006/relationships" xmlns:w="http://schemas.openxmlformats.org/wordprocessingml/2006/main"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r="http://schemas.openxmlformats.org/officeDocument/2006/relationships" xmlns:w="http://schemas.openxmlformats.org/wordprocessingml/2006/main"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xmlns:r="http://schemas.openxmlformats.org/officeDocument/2006/relationships" xmlns:w="http://schemas.openxmlformats.org/wordprocessingml/2006/main"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xmlns:r="http://schemas.openxmlformats.org/officeDocument/2006/relationships" xmlns:w="http://schemas.openxmlformats.org/wordprocessingml/2006/main"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xmlns:r="http://schemas.openxmlformats.org/officeDocument/2006/relationships" xmlns:w="http://schemas.openxmlformats.org/wordprocessingml/2006/main"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xmlns:r="http://schemas.openxmlformats.org/officeDocument/2006/relationships" xmlns:w="http://schemas.openxmlformats.org/wordprocessingml/2006/main"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xmlns:r="http://schemas.openxmlformats.org/officeDocument/2006/relationships" xmlns:w="http://schemas.openxmlformats.org/wordprocessingml/2006/main"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xmlns:r="http://schemas.openxmlformats.org/officeDocument/2006/relationships" xmlns:w="http://schemas.openxmlformats.org/wordprocessingml/2006/main"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xmlns:r="http://schemas.openxmlformats.org/officeDocument/2006/relationships" xmlns:w="http://schemas.openxmlformats.org/wordprocessingml/2006/main"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start="480" w:end="480" w:firstLine="0"/>
    </w:pPr>
  </w:style>
  <w:style xmlns:r="http://schemas.openxmlformats.org/officeDocument/2006/relationships" xmlns:w="http://schemas.openxmlformats.org/wordprocessingml/2006/main" w:type="paragraph" w:styleId="FootnoteText">
    <w:name w:val="Footnote Text"/>
    <w:basedOn w:val="Normal"/>
    <w:next w:val="FootnoteText"/>
    <w:uiPriority w:val="9"/>
    <w:unhideWhenUsed/>
    <w:qFormat/>
  </w:style>
  <w:style xmlns:r="http://schemas.openxmlformats.org/officeDocument/2006/relationships" xmlns:w="http://schemas.openxmlformats.org/wordprocessingml/2006/main"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start="480" w:end="480" w:firstLine="0"/>
    </w:pPr>
  </w:style>
  <w:style xmlns:r="http://schemas.openxmlformats.org/officeDocument/2006/relationships" xmlns:w="http://schemas.openxmlformats.org/wordprocessingml/2006/main" w:type="character" w:styleId="DefaultParagraphFont" w:default="1">
    <w:name w:val="Default Paragraph Font"/>
    <w:semiHidden/>
    <w:unhideWhenUsed/>
  </w:style>
  <w:style xmlns:r="http://schemas.openxmlformats.org/officeDocument/2006/relationships" xmlns:w="http://schemas.openxmlformats.org/wordprocessingml/2006/main" w:type="table" w:styleId="Table" w:default="1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xmlns:r="http://schemas.openxmlformats.org/officeDocument/2006/relationships" xmlns:w="http://schemas.openxmlformats.org/wordprocessingml/2006/main"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xmlns:r="http://schemas.openxmlformats.org/officeDocument/2006/relationships" xmlns:w="http://schemas.openxmlformats.org/wordprocessingml/2006/main" w:type="paragraph" w:styleId="Definition" w:customStyle="1">
    <w:name w:val="Definition"/>
    <w:basedOn w:val="Normal"/>
  </w:style>
  <w:style xmlns:r="http://schemas.openxmlformats.org/officeDocument/2006/relationships" xmlns:w="http://schemas.openxmlformats.org/wordprocessingml/2006/main" w:type="paragraph" w:styleId="Caption">
    <w:name w:val="Caption"/>
    <w:basedOn w:val="Normal"/>
    <w:link w:val="BodyTextChar"/>
    <w:pPr>
      <w:spacing w:before="0" w:after="120"/>
    </w:pPr>
    <w:rPr>
      <w:i/>
    </w:rPr>
  </w:style>
  <w:style xmlns:r="http://schemas.openxmlformats.org/officeDocument/2006/relationships" xmlns:w="http://schemas.openxmlformats.org/wordprocessingml/2006/main" w:type="paragraph" w:styleId="TableCaption" w:customStyle="1">
    <w:name w:val="Table Caption"/>
    <w:basedOn w:val="Caption"/>
    <w:pPr>
      <w:keepNext/>
    </w:pPr>
  </w:style>
  <w:style xmlns:r="http://schemas.openxmlformats.org/officeDocument/2006/relationships" xmlns:w="http://schemas.openxmlformats.org/wordprocessingml/2006/main" w:type="paragraph" w:styleId="ImageCaption" w:customStyle="1">
    <w:name w:val="Image Caption"/>
    <w:basedOn w:val="Caption"/>
  </w:style>
  <w:style xmlns:r="http://schemas.openxmlformats.org/officeDocument/2006/relationships" xmlns:w="http://schemas.openxmlformats.org/wordprocessingml/2006/main" w:type="paragraph" w:styleId="Figure" w:customStyle="1">
    <w:name w:val="Figure"/>
    <w:basedOn w:val="Normal"/>
  </w:style>
  <w:style xmlns:r="http://schemas.openxmlformats.org/officeDocument/2006/relationships" xmlns:w="http://schemas.openxmlformats.org/wordprocessingml/2006/main" w:type="paragraph" w:styleId="CaptionedFigure" w:customStyle="1">
    <w:name w:val="Captioned Figure"/>
    <w:basedOn w:val="Figure"/>
    <w:pPr>
      <w:keepNext/>
    </w:pPr>
  </w:style>
  <w:style xmlns:r="http://schemas.openxmlformats.org/officeDocument/2006/relationships" xmlns:w="http://schemas.openxmlformats.org/wordprocessingml/2006/main" w:type="character" w:styleId="BodyTextChar" w:customStyle="1">
    <w:name w:val="Body Text Char"/>
    <w:basedOn w:val="DefaultParagraphFont"/>
    <w:link w:val="BodyText"/>
  </w:style>
  <w:style xmlns:r="http://schemas.openxmlformats.org/officeDocument/2006/relationships" xmlns:w="http://schemas.openxmlformats.org/wordprocessingml/2006/main" w:type="character" w:styleId="VerbatimChar" w:customStyle="1">
    <w:name w:val="Verbatim Char"/>
    <w:basedOn w:val="BodyTextChar"/>
    <w:rPr>
      <w:rFonts w:ascii="Consolas" w:hAnsi="Consolas"/>
      <w:sz w:val="22"/>
    </w:rPr>
  </w:style>
  <w:style xmlns:r="http://schemas.openxmlformats.org/officeDocument/2006/relationships" xmlns:w="http://schemas.openxmlformats.org/wordprocessingml/2006/main" w:type="character" w:styleId="SectionNumber" w:customStyle="1">
    <w:name w:val="Section Number"/>
    <w:basedOn w:val="BodyTextChar"/>
  </w:style>
  <w:style xmlns:r="http://schemas.openxmlformats.org/officeDocument/2006/relationships" xmlns:w="http://schemas.openxmlformats.org/wordprocessingml/2006/main" w:type="character" w:styleId="FootnoteReference">
    <w:name w:val="Footnote Reference"/>
    <w:basedOn w:val="BodyTextChar"/>
    <w:rPr>
      <w:vertAlign w:val="superscript"/>
    </w:rPr>
  </w:style>
  <w:style xmlns:r="http://schemas.openxmlformats.org/officeDocument/2006/relationships" xmlns:w="http://schemas.openxmlformats.org/wordprocessingml/2006/main" w:type="character" w:styleId="Hyperlink">
    <w:name w:val="Hyperlink"/>
    <w:basedOn w:val="BodyTextChar"/>
    <w:rPr>
      <w:color w:val="4F81BD" w:themeColor="accent1"/>
    </w:rPr>
  </w:style>
  <w:style xmlns:r="http://schemas.openxmlformats.org/officeDocument/2006/relationships" xmlns:w="http://schemas.openxmlformats.org/wordprocessingml/2006/main"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xmlns:r="http://schemas.openxmlformats.org/officeDocument/2006/relationships" xmlns:w="http://schemas.openxmlformats.org/wordprocessingml/2006/main" w:type="paragraph" w:styleId="SourceCode" w:customStyle="1">
    <w:name w:val="Source Code"/>
    <w:basedOn w:val="Normal"/>
    <w:link w:val="VerbatimChar"/>
    <w:pPr>
      <w:wordWrap w:val="off"/>
    </w:pPr>
  </w:style>
  <w:style xmlns:r="http://schemas.openxmlformats.org/officeDocument/2006/relationships" xmlns:w="http://schemas.openxmlformats.org/wordprocessingml/2006/main" w:type="character" w:styleId="KeywordTok" w:customStyle="1">
    <w:name w:val="KeywordTok"/>
    <w:basedOn w:val="VerbatimChar"/>
    <w:rPr>
      <w:b/>
      <w:color w:val="007020"/>
    </w:rPr>
  </w:style>
  <w:style xmlns:r="http://schemas.openxmlformats.org/officeDocument/2006/relationships" xmlns:w="http://schemas.openxmlformats.org/wordprocessingml/2006/main" w:type="character" w:styleId="DataTypeTok" w:customStyle="1">
    <w:name w:val="DataTypeTok"/>
    <w:basedOn w:val="VerbatimChar"/>
    <w:rPr>
      <w:color w:val="902000"/>
    </w:rPr>
  </w:style>
  <w:style xmlns:r="http://schemas.openxmlformats.org/officeDocument/2006/relationships" xmlns:w="http://schemas.openxmlformats.org/wordprocessingml/2006/main" w:type="character" w:styleId="DecValTok" w:customStyle="1">
    <w:name w:val="DecValTok"/>
    <w:basedOn w:val="VerbatimChar"/>
    <w:rPr>
      <w:color w:val="40a070"/>
    </w:rPr>
  </w:style>
  <w:style xmlns:r="http://schemas.openxmlformats.org/officeDocument/2006/relationships" xmlns:w="http://schemas.openxmlformats.org/wordprocessingml/2006/main" w:type="character" w:styleId="BaseNTok" w:customStyle="1">
    <w:name w:val="BaseNTok"/>
    <w:basedOn w:val="VerbatimChar"/>
    <w:rPr>
      <w:color w:val="40a070"/>
    </w:rPr>
  </w:style>
  <w:style xmlns:r="http://schemas.openxmlformats.org/officeDocument/2006/relationships" xmlns:w="http://schemas.openxmlformats.org/wordprocessingml/2006/main" w:type="character" w:styleId="FloatTok" w:customStyle="1">
    <w:name w:val="FloatTok"/>
    <w:basedOn w:val="VerbatimChar"/>
    <w:rPr>
      <w:color w:val="40a070"/>
    </w:rPr>
  </w:style>
  <w:style xmlns:r="http://schemas.openxmlformats.org/officeDocument/2006/relationships" xmlns:w="http://schemas.openxmlformats.org/wordprocessingml/2006/main" w:type="character" w:styleId="ConstantTok" w:customStyle="1">
    <w:name w:val="ConstantTok"/>
    <w:basedOn w:val="VerbatimChar"/>
    <w:rPr>
      <w:color w:val="880000"/>
    </w:rPr>
  </w:style>
  <w:style xmlns:r="http://schemas.openxmlformats.org/officeDocument/2006/relationships" xmlns:w="http://schemas.openxmlformats.org/wordprocessingml/2006/main" w:type="character" w:styleId="CharTok" w:customStyle="1">
    <w:name w:val="CharTok"/>
    <w:basedOn w:val="VerbatimChar"/>
    <w:rPr>
      <w:color w:val="4070a0"/>
    </w:rPr>
  </w:style>
  <w:style xmlns:r="http://schemas.openxmlformats.org/officeDocument/2006/relationships" xmlns:w="http://schemas.openxmlformats.org/wordprocessingml/2006/main" w:type="character" w:styleId="SpecialCharTok" w:customStyle="1">
    <w:name w:val="SpecialCharTok"/>
    <w:basedOn w:val="VerbatimChar"/>
    <w:rPr>
      <w:color w:val="4070a0"/>
    </w:rPr>
  </w:style>
  <w:style xmlns:r="http://schemas.openxmlformats.org/officeDocument/2006/relationships" xmlns:w="http://schemas.openxmlformats.org/wordprocessingml/2006/main" w:type="character" w:styleId="StringTok" w:customStyle="1">
    <w:name w:val="StringTok"/>
    <w:basedOn w:val="VerbatimChar"/>
    <w:rPr>
      <w:color w:val="4070a0"/>
    </w:rPr>
  </w:style>
  <w:style xmlns:r="http://schemas.openxmlformats.org/officeDocument/2006/relationships" xmlns:w="http://schemas.openxmlformats.org/wordprocessingml/2006/main" w:type="character" w:styleId="VerbatimStringTok" w:customStyle="1">
    <w:name w:val="VerbatimStringTok"/>
    <w:basedOn w:val="VerbatimChar"/>
    <w:rPr>
      <w:color w:val="4070a0"/>
    </w:rPr>
  </w:style>
  <w:style xmlns:r="http://schemas.openxmlformats.org/officeDocument/2006/relationships" xmlns:w="http://schemas.openxmlformats.org/wordprocessingml/2006/main" w:type="character" w:styleId="SpecialStringTok" w:customStyle="1">
    <w:name w:val="SpecialStringTok"/>
    <w:basedOn w:val="VerbatimChar"/>
    <w:rPr>
      <w:color w:val="bb6688"/>
    </w:rPr>
  </w:style>
  <w:style xmlns:r="http://schemas.openxmlformats.org/officeDocument/2006/relationships" xmlns:w="http://schemas.openxmlformats.org/wordprocessingml/2006/main" w:type="character" w:styleId="ImportTok" w:customStyle="1">
    <w:name w:val="ImportTok"/>
    <w:basedOn w:val="VerbatimChar"/>
    <w:rPr>
      <w:b/>
      <w:color w:val="008000"/>
    </w:rPr>
  </w:style>
  <w:style xmlns:r="http://schemas.openxmlformats.org/officeDocument/2006/relationships" xmlns:w="http://schemas.openxmlformats.org/wordprocessingml/2006/main" w:type="character" w:styleId="CommentTok" w:customStyle="1">
    <w:name w:val="CommentTok"/>
    <w:basedOn w:val="VerbatimChar"/>
    <w:rPr>
      <w:i/>
      <w:color w:val="60a0b0"/>
    </w:rPr>
  </w:style>
  <w:style xmlns:r="http://schemas.openxmlformats.org/officeDocument/2006/relationships" xmlns:w="http://schemas.openxmlformats.org/wordprocessingml/2006/main" w:type="character" w:styleId="DocumentationTok" w:customStyle="1">
    <w:name w:val="DocumentationTok"/>
    <w:basedOn w:val="VerbatimChar"/>
    <w:rPr>
      <w:i/>
      <w:color w:val="ba2121"/>
    </w:rPr>
  </w:style>
  <w:style xmlns:r="http://schemas.openxmlformats.org/officeDocument/2006/relationships" xmlns:w="http://schemas.openxmlformats.org/wordprocessingml/2006/main" w:type="character" w:styleId="AnnotationTok" w:customStyle="1">
    <w:name w:val="AnnotationTok"/>
    <w:basedOn w:val="VerbatimChar"/>
    <w:rPr>
      <w:b/>
      <w:i/>
      <w:color w:val="60a0b0"/>
    </w:rPr>
  </w:style>
  <w:style xmlns:r="http://schemas.openxmlformats.org/officeDocument/2006/relationships" xmlns:w="http://schemas.openxmlformats.org/wordprocessingml/2006/main" w:type="character" w:styleId="CommentVarTok" w:customStyle="1">
    <w:name w:val="CommentVarTok"/>
    <w:basedOn w:val="VerbatimChar"/>
    <w:rPr>
      <w:b/>
      <w:i/>
      <w:color w:val="60a0b0"/>
    </w:rPr>
  </w:style>
  <w:style xmlns:r="http://schemas.openxmlformats.org/officeDocument/2006/relationships" xmlns:w="http://schemas.openxmlformats.org/wordprocessingml/2006/main" w:type="character" w:styleId="OtherTok" w:customStyle="1">
    <w:name w:val="OtherTok"/>
    <w:basedOn w:val="VerbatimChar"/>
    <w:rPr>
      <w:color w:val="007020"/>
    </w:rPr>
  </w:style>
  <w:style xmlns:r="http://schemas.openxmlformats.org/officeDocument/2006/relationships" xmlns:w="http://schemas.openxmlformats.org/wordprocessingml/2006/main" w:type="character" w:styleId="FunctionTok" w:customStyle="1">
    <w:name w:val="FunctionTok"/>
    <w:basedOn w:val="VerbatimChar"/>
    <w:rPr>
      <w:color w:val="06287e"/>
    </w:rPr>
  </w:style>
  <w:style xmlns:r="http://schemas.openxmlformats.org/officeDocument/2006/relationships" xmlns:w="http://schemas.openxmlformats.org/wordprocessingml/2006/main" w:type="character" w:styleId="VariableTok" w:customStyle="1">
    <w:name w:val="VariableTok"/>
    <w:basedOn w:val="VerbatimChar"/>
    <w:rPr>
      <w:color w:val="19177c"/>
    </w:rPr>
  </w:style>
  <w:style xmlns:r="http://schemas.openxmlformats.org/officeDocument/2006/relationships" xmlns:w="http://schemas.openxmlformats.org/wordprocessingml/2006/main" w:type="character" w:styleId="ControlFlowTok" w:customStyle="1">
    <w:name w:val="ControlFlowTok"/>
    <w:basedOn w:val="VerbatimChar"/>
    <w:rPr>
      <w:b/>
      <w:color w:val="007020"/>
    </w:rPr>
  </w:style>
  <w:style xmlns:r="http://schemas.openxmlformats.org/officeDocument/2006/relationships" xmlns:w="http://schemas.openxmlformats.org/wordprocessingml/2006/main" w:type="character" w:styleId="OperatorTok" w:customStyle="1">
    <w:name w:val="OperatorTok"/>
    <w:basedOn w:val="VerbatimChar"/>
    <w:rPr>
      <w:color w:val="666666"/>
    </w:rPr>
  </w:style>
  <w:style xmlns:r="http://schemas.openxmlformats.org/officeDocument/2006/relationships" xmlns:w="http://schemas.openxmlformats.org/wordprocessingml/2006/main" w:type="character" w:styleId="BuiltInTok" w:customStyle="1">
    <w:name w:val="BuiltInTok"/>
    <w:basedOn w:val="VerbatimChar"/>
    <w:rPr>
      <w:color w:val="008000"/>
    </w:rPr>
  </w:style>
  <w:style xmlns:r="http://schemas.openxmlformats.org/officeDocument/2006/relationships" xmlns:w="http://schemas.openxmlformats.org/wordprocessingml/2006/main" w:type="character" w:styleId="ExtensionTok" w:customStyle="1">
    <w:name w:val="ExtensionTok"/>
    <w:basedOn w:val="VerbatimChar"/>
    <w:rPr/>
  </w:style>
  <w:style xmlns:r="http://schemas.openxmlformats.org/officeDocument/2006/relationships" xmlns:w="http://schemas.openxmlformats.org/wordprocessingml/2006/main" w:type="character" w:styleId="PreprocessorTok" w:customStyle="1">
    <w:name w:val="PreprocessorTok"/>
    <w:basedOn w:val="VerbatimChar"/>
    <w:rPr>
      <w:color w:val="bc7a00"/>
    </w:rPr>
  </w:style>
  <w:style xmlns:r="http://schemas.openxmlformats.org/officeDocument/2006/relationships" xmlns:w="http://schemas.openxmlformats.org/wordprocessingml/2006/main" w:type="character" w:styleId="AttributeTok" w:customStyle="1">
    <w:name w:val="AttributeTok"/>
    <w:basedOn w:val="VerbatimChar"/>
    <w:rPr>
      <w:color w:val="7d9029"/>
    </w:rPr>
  </w:style>
  <w:style xmlns:r="http://schemas.openxmlformats.org/officeDocument/2006/relationships" xmlns:w="http://schemas.openxmlformats.org/wordprocessingml/2006/main" w:type="character" w:styleId="RegionMarkerTok" w:customStyle="1">
    <w:name w:val="RegionMarkerTok"/>
    <w:basedOn w:val="VerbatimChar"/>
    <w:rPr/>
  </w:style>
  <w:style xmlns:r="http://schemas.openxmlformats.org/officeDocument/2006/relationships" xmlns:w="http://schemas.openxmlformats.org/wordprocessingml/2006/main" w:type="character" w:styleId="InformationTok" w:customStyle="1">
    <w:name w:val="InformationTok"/>
    <w:basedOn w:val="VerbatimChar"/>
    <w:rPr>
      <w:b/>
      <w:i/>
      <w:color w:val="60a0b0"/>
    </w:rPr>
  </w:style>
  <w:style xmlns:r="http://schemas.openxmlformats.org/officeDocument/2006/relationships" xmlns:w="http://schemas.openxmlformats.org/wordprocessingml/2006/main" w:type="character" w:styleId="WarningTok" w:customStyle="1">
    <w:name w:val="WarningTok"/>
    <w:basedOn w:val="VerbatimChar"/>
    <w:rPr>
      <w:b/>
      <w:i/>
      <w:color w:val="60a0b0"/>
    </w:rPr>
  </w:style>
  <w:style xmlns:r="http://schemas.openxmlformats.org/officeDocument/2006/relationships" xmlns:w="http://schemas.openxmlformats.org/wordprocessingml/2006/main" w:type="character" w:styleId="AlertTok" w:customStyle="1">
    <w:name w:val="AlertTok"/>
    <w:basedOn w:val="VerbatimChar"/>
    <w:rPr>
      <w:b/>
      <w:color w:val="ff0000"/>
    </w:rPr>
  </w:style>
  <w:style xmlns:r="http://schemas.openxmlformats.org/officeDocument/2006/relationships" xmlns:w="http://schemas.openxmlformats.org/wordprocessingml/2006/main" w:type="character" w:styleId="ErrorTok" w:customStyle="1">
    <w:name w:val="ErrorTok"/>
    <w:basedOn w:val="VerbatimChar"/>
    <w:rPr>
      <w:b/>
      <w:color w:val="ff0000"/>
    </w:rPr>
  </w:style>
  <w:style xmlns:r="http://schemas.openxmlformats.org/officeDocument/2006/relationships" xmlns:w="http://schemas.openxmlformats.org/wordprocessingml/2006/main"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webSettings" Target="webSettings.xml" Id="rId5" /><Relationship Type="http://schemas.openxmlformats.org/officeDocument/2006/relationships/fontTable" Target="fontTable.xml" Id="rId4" /><Relationship Type="http://schemas.openxmlformats.org/officeDocument/2006/relationships/theme" Target="theme/theme1.xml" Id="rId3" /><Relationship Type="http://schemas.openxmlformats.org/officeDocument/2006/relationships/footnotes" Target="footnotes.xml" Id="rId2" /><Relationship Type="http://schemas.openxmlformats.org/officeDocument/2006/relationships/comments" Target="comments.xml" Id="rId1" /><Relationship Type="http://schemas.openxmlformats.org/officeDocument/2006/relationships/header" Target="/word/header1.xml" Id="Rb14a9312b0744c9d" /><Relationship Type="http://schemas.openxmlformats.org/officeDocument/2006/relationships/footer" Target="/word/footer1.xml" Id="Rf781855c09a44ca9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Words>83</ap:Words>
  <ap:SharedDoc>false</ap:SharedDoc>
  <ap:HyperlinksChanged>false</ap:HyperlinksChanged>
  <ap:Lines>12</ap:Lines>
  <ap:AppVersion>12.0000</ap:AppVersion>
  <ap:LinksUpToDate>false</ap:LinksUpToDate>
  <ap:Application>Microsoft Word 12.0.0</ap:Application>
  <ap:CharactersWithSpaces>583</ap:CharactersWithSpaces>
  <ap:Template>Normal.dotm</ap:Template>
  <ap:DocSecurity>0</ap:DocSecurity>
  <ap:TotalTime>6</ap:TotalTime>
  <ap:ScaleCrop>false</ap:ScaleCrop>
  <ap:Characters>475</ap:Characters>
  <ap:Paragraphs>8</ap:Paragraphs>
  <ap:Pages>1</ap:Pages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OFRA and ETG Technical Report</dc:title>
  <dc:creator>WU LIQIANG</dc:creator>
  <cp:keywords/>
  <dcterms:created xsi:type="dcterms:W3CDTF">2026-08-17T10:45:01Z</dcterms:created>
  <dcterms:modified xsi:type="dcterms:W3CDTF">2026-08-17T10:45:01Z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date">
    <vt:lpwstr>17 August 2026</vt:lpwstr>
  </op:property>
  <op:property fmtid="{D5CDD505-2E9C-101B-9397-08002B2CF9AE}" pid="3" name="subtitle">
    <vt:lpwstr>Evidence-aligned architecture, preprocessing, classifier comparisons, SHAP, ETG, and project status</vt:lpwstr>
  </op:property>
  <op:property fmtid="{D5CDD505-2E9C-101B-9397-08002B2CF9AE}" pid="4" name="OfficeCLI.Version">
    <vt:lpwstr>1.0.139</vt:lpwstr>
  </op:property>
  <op:property fmtid="{D5CDD505-2E9C-101B-9397-08002B2CF9AE}" pid="5" name="OfficeCLI.LastModified">
    <vt:lpwstr>2026-08-17T10:46:19Z</vt:lpwstr>
  </op:property>
</op:Properties>
</file>